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DDF28" w14:textId="2711DE14" w:rsidR="0028228B" w:rsidRDefault="0028228B" w:rsidP="00BB15EA">
      <w:pPr>
        <w:jc w:val="center"/>
        <w:rPr>
          <w:rFonts w:ascii="Times New Roman" w:hAnsi="Times New Roman" w:cs="Times New Roman"/>
          <w:b/>
          <w:bCs/>
          <w:u w:val="single"/>
        </w:rPr>
      </w:pPr>
      <w:r w:rsidRPr="0028228B">
        <w:rPr>
          <w:rFonts w:ascii="Times New Roman" w:hAnsi="Times New Roman" w:cs="Times New Roman"/>
          <w:b/>
          <w:bCs/>
          <w:u w:val="single"/>
        </w:rPr>
        <w:t>Comment penser le grand âge, panser la dépendance à travers les innovations sociales</w:t>
      </w:r>
    </w:p>
    <w:p w14:paraId="738165B3" w14:textId="48A9DD65" w:rsidR="0028228B" w:rsidRPr="0028228B" w:rsidRDefault="0028228B" w:rsidP="00BB15EA">
      <w:pPr>
        <w:jc w:val="center"/>
        <w:rPr>
          <w:rFonts w:ascii="Times New Roman" w:hAnsi="Times New Roman" w:cs="Times New Roman"/>
          <w:b/>
          <w:bCs/>
          <w:i/>
          <w:iCs/>
          <w:u w:val="single"/>
        </w:rPr>
      </w:pPr>
      <w:r w:rsidRPr="0028228B">
        <w:rPr>
          <w:rFonts w:ascii="Times New Roman" w:hAnsi="Times New Roman" w:cs="Times New Roman"/>
          <w:b/>
          <w:bCs/>
          <w:i/>
          <w:iCs/>
          <w:u w:val="single"/>
        </w:rPr>
        <w:t>Ce que les dispositifs font aux personnes âgées : le temps de l’évaluation</w:t>
      </w:r>
    </w:p>
    <w:p w14:paraId="56DBB887" w14:textId="708E77BF" w:rsidR="00DD0985" w:rsidRDefault="009B2561" w:rsidP="00BB15EA">
      <w:pPr>
        <w:jc w:val="center"/>
        <w:rPr>
          <w:rFonts w:ascii="Times New Roman" w:hAnsi="Times New Roman" w:cs="Times New Roman"/>
          <w:b/>
          <w:bCs/>
        </w:rPr>
      </w:pPr>
      <w:r>
        <w:rPr>
          <w:rFonts w:ascii="Times New Roman" w:hAnsi="Times New Roman" w:cs="Times New Roman"/>
          <w:b/>
          <w:bCs/>
        </w:rPr>
        <w:t>La question juridique du don</w:t>
      </w:r>
    </w:p>
    <w:p w14:paraId="30157DBE" w14:textId="3F6349E8" w:rsidR="00BB15EA" w:rsidRPr="00BB15EA" w:rsidRDefault="00BB15EA" w:rsidP="009765B8">
      <w:pPr>
        <w:spacing w:after="0"/>
        <w:jc w:val="center"/>
        <w:rPr>
          <w:rFonts w:ascii="Times New Roman" w:hAnsi="Times New Roman" w:cs="Times New Roman"/>
        </w:rPr>
      </w:pPr>
      <w:r w:rsidRPr="00BB15EA">
        <w:rPr>
          <w:rFonts w:ascii="Times New Roman" w:hAnsi="Times New Roman" w:cs="Times New Roman"/>
        </w:rPr>
        <w:t>Aude Bernard-Roujou de Boubée</w:t>
      </w:r>
    </w:p>
    <w:p w14:paraId="11573B24" w14:textId="36ED149A" w:rsidR="00BB15EA" w:rsidRPr="00BB15EA" w:rsidRDefault="00BB15EA" w:rsidP="009765B8">
      <w:pPr>
        <w:spacing w:after="0"/>
        <w:jc w:val="center"/>
        <w:rPr>
          <w:rFonts w:ascii="Times New Roman" w:hAnsi="Times New Roman" w:cs="Times New Roman"/>
        </w:rPr>
      </w:pPr>
      <w:r w:rsidRPr="00BB15EA">
        <w:rPr>
          <w:rFonts w:ascii="Times New Roman" w:hAnsi="Times New Roman" w:cs="Times New Roman"/>
        </w:rPr>
        <w:t>Maître de conférences en droit privé</w:t>
      </w:r>
    </w:p>
    <w:p w14:paraId="403C1B62" w14:textId="1D127FF5" w:rsidR="00BB15EA" w:rsidRDefault="00BB15EA" w:rsidP="009765B8">
      <w:pPr>
        <w:spacing w:after="0"/>
        <w:jc w:val="center"/>
        <w:rPr>
          <w:rFonts w:ascii="Times New Roman" w:hAnsi="Times New Roman" w:cs="Times New Roman"/>
        </w:rPr>
      </w:pPr>
      <w:r w:rsidRPr="00BB15EA">
        <w:rPr>
          <w:rFonts w:ascii="Times New Roman" w:hAnsi="Times New Roman" w:cs="Times New Roman"/>
        </w:rPr>
        <w:t>Institut catholique de Toulouse</w:t>
      </w:r>
    </w:p>
    <w:p w14:paraId="17590FC5" w14:textId="7B25C119" w:rsidR="009D4658" w:rsidRDefault="009D4658" w:rsidP="006D394F">
      <w:pPr>
        <w:spacing w:after="0"/>
        <w:rPr>
          <w:rFonts w:ascii="Times New Roman" w:hAnsi="Times New Roman" w:cs="Times New Roman"/>
        </w:rPr>
      </w:pPr>
    </w:p>
    <w:p w14:paraId="726DE546" w14:textId="54B7ECA2" w:rsidR="005B66E0" w:rsidRDefault="005B66E0" w:rsidP="009765B8">
      <w:pPr>
        <w:spacing w:after="0"/>
        <w:jc w:val="center"/>
        <w:rPr>
          <w:rFonts w:ascii="Times New Roman" w:hAnsi="Times New Roman" w:cs="Times New Roman"/>
        </w:rPr>
      </w:pPr>
    </w:p>
    <w:p w14:paraId="031D1756" w14:textId="77777777" w:rsidR="00571BE6" w:rsidRDefault="00571BE6" w:rsidP="005B66E0">
      <w:pPr>
        <w:spacing w:after="0"/>
        <w:jc w:val="both"/>
        <w:rPr>
          <w:rFonts w:ascii="Times New Roman" w:hAnsi="Times New Roman" w:cs="Times New Roman"/>
        </w:rPr>
      </w:pPr>
    </w:p>
    <w:p w14:paraId="1D396585" w14:textId="29A40092" w:rsidR="00365D2A" w:rsidRDefault="00571BE6" w:rsidP="005B66E0">
      <w:pPr>
        <w:spacing w:after="0"/>
        <w:jc w:val="both"/>
        <w:rPr>
          <w:rFonts w:ascii="Times New Roman" w:hAnsi="Times New Roman" w:cs="Times New Roman"/>
        </w:rPr>
      </w:pPr>
      <w:r>
        <w:rPr>
          <w:rFonts w:ascii="Times New Roman" w:hAnsi="Times New Roman" w:cs="Times New Roman"/>
        </w:rPr>
        <w:t>L</w:t>
      </w:r>
      <w:r w:rsidR="00365D2A">
        <w:rPr>
          <w:rFonts w:ascii="Times New Roman" w:hAnsi="Times New Roman" w:cs="Times New Roman"/>
        </w:rPr>
        <w:t xml:space="preserve">a crise sanitaire que connaît le monde entier depuis le début de l’année 2020 a poussé à s’interroger sur la question du grand âge et de la dépendance, puisque les personnes âgées ont d’abord été considérées comme les plus vulnérables et que la dépendance dont elles ont souvent besoin augmente leur état de vulnérabilité. Ainsi, les personnes âgées seraient </w:t>
      </w:r>
      <w:r w:rsidR="00365D2A" w:rsidRPr="00365D2A">
        <w:rPr>
          <w:rFonts w:ascii="Times New Roman" w:hAnsi="Times New Roman" w:cs="Times New Roman"/>
          <w:i/>
          <w:iCs/>
        </w:rPr>
        <w:t>par nature</w:t>
      </w:r>
      <w:r w:rsidR="00365D2A">
        <w:rPr>
          <w:rFonts w:ascii="Times New Roman" w:hAnsi="Times New Roman" w:cs="Times New Roman"/>
        </w:rPr>
        <w:t xml:space="preserve"> vulnérables et </w:t>
      </w:r>
      <w:r w:rsidR="00365D2A" w:rsidRPr="00365D2A">
        <w:rPr>
          <w:rFonts w:ascii="Times New Roman" w:hAnsi="Times New Roman" w:cs="Times New Roman"/>
          <w:i/>
          <w:iCs/>
        </w:rPr>
        <w:t>par exercice</w:t>
      </w:r>
      <w:r w:rsidR="00365D2A">
        <w:rPr>
          <w:rFonts w:ascii="Times New Roman" w:hAnsi="Times New Roman" w:cs="Times New Roman"/>
        </w:rPr>
        <w:t xml:space="preserve"> vulnérable aussi </w:t>
      </w:r>
      <w:proofErr w:type="gramStart"/>
      <w:r w:rsidR="00365D2A">
        <w:rPr>
          <w:rFonts w:ascii="Times New Roman" w:hAnsi="Times New Roman" w:cs="Times New Roman"/>
        </w:rPr>
        <w:t>puisque</w:t>
      </w:r>
      <w:proofErr w:type="gramEnd"/>
      <w:r w:rsidR="00365D2A">
        <w:rPr>
          <w:rFonts w:ascii="Times New Roman" w:hAnsi="Times New Roman" w:cs="Times New Roman"/>
        </w:rPr>
        <w:t>, sans le soutien d’autrui, elles ne peuvent vivre</w:t>
      </w:r>
      <w:r>
        <w:rPr>
          <w:rFonts w:ascii="Times New Roman" w:hAnsi="Times New Roman" w:cs="Times New Roman"/>
        </w:rPr>
        <w:t xml:space="preserve"> décemment. </w:t>
      </w:r>
    </w:p>
    <w:p w14:paraId="5425560B" w14:textId="3762CB2C" w:rsidR="00571BE6" w:rsidRDefault="00571BE6" w:rsidP="005B66E0">
      <w:pPr>
        <w:spacing w:after="0"/>
        <w:jc w:val="both"/>
        <w:rPr>
          <w:rFonts w:ascii="Times New Roman" w:hAnsi="Times New Roman" w:cs="Times New Roman"/>
        </w:rPr>
      </w:pPr>
    </w:p>
    <w:p w14:paraId="637423AF" w14:textId="77777777" w:rsidR="002C4CD1" w:rsidRDefault="00571BE6" w:rsidP="007278B0">
      <w:pPr>
        <w:spacing w:after="0"/>
        <w:jc w:val="both"/>
        <w:rPr>
          <w:rFonts w:ascii="Times New Roman" w:hAnsi="Times New Roman" w:cs="Times New Roman"/>
        </w:rPr>
      </w:pPr>
      <w:r>
        <w:rPr>
          <w:rFonts w:ascii="Times New Roman" w:hAnsi="Times New Roman" w:cs="Times New Roman"/>
        </w:rPr>
        <w:t xml:space="preserve">Cette vulnérabilité a mis longtemps à être appréhendée. De nombreuses raisons sociales, philosophiques, juridiques expliquent cette absence de prise en compte de la vulnérabilité. </w:t>
      </w:r>
    </w:p>
    <w:p w14:paraId="3B1D9D05" w14:textId="77777777" w:rsidR="002C4CD1" w:rsidRDefault="00571BE6" w:rsidP="007278B0">
      <w:pPr>
        <w:spacing w:after="0"/>
        <w:jc w:val="both"/>
        <w:rPr>
          <w:rFonts w:ascii="Times New Roman" w:hAnsi="Times New Roman" w:cs="Times New Roman"/>
        </w:rPr>
      </w:pPr>
      <w:r>
        <w:rPr>
          <w:rFonts w:ascii="Times New Roman" w:hAnsi="Times New Roman" w:cs="Times New Roman"/>
        </w:rPr>
        <w:t xml:space="preserve">Socialement, il est toujours malaisé de s’interroger sur le grand âge. Cela oblige l’auteur de la réflexion à s’interroger sur sa propre fin de vie, et son éventuel risque de dépendance ce qui n’est jamais tâche aisée, et </w:t>
      </w:r>
      <w:r w:rsidR="00E6149C">
        <w:rPr>
          <w:rFonts w:ascii="Times New Roman" w:hAnsi="Times New Roman" w:cs="Times New Roman"/>
        </w:rPr>
        <w:t xml:space="preserve">il est parfois plus simple de mettre un voile sur le sujet et de laisser aux autres le soin de s’en emparer. </w:t>
      </w:r>
    </w:p>
    <w:p w14:paraId="69179F19" w14:textId="1698CCAA" w:rsidR="008C322C" w:rsidRDefault="00E6149C" w:rsidP="007278B0">
      <w:pPr>
        <w:spacing w:after="0"/>
        <w:jc w:val="both"/>
        <w:rPr>
          <w:rFonts w:ascii="Times New Roman" w:hAnsi="Times New Roman" w:cs="Times New Roman"/>
        </w:rPr>
      </w:pPr>
      <w:r>
        <w:rPr>
          <w:rFonts w:ascii="Times New Roman" w:hAnsi="Times New Roman" w:cs="Times New Roman"/>
        </w:rPr>
        <w:t xml:space="preserve">Philosophiquement, le Pape François soulignait dans son </w:t>
      </w:r>
      <w:proofErr w:type="spellStart"/>
      <w:r>
        <w:rPr>
          <w:rFonts w:ascii="Times New Roman" w:hAnsi="Times New Roman" w:cs="Times New Roman"/>
        </w:rPr>
        <w:t>Laudato</w:t>
      </w:r>
      <w:proofErr w:type="spellEnd"/>
      <w:r>
        <w:rPr>
          <w:rFonts w:ascii="Times New Roman" w:hAnsi="Times New Roman" w:cs="Times New Roman"/>
        </w:rPr>
        <w:t xml:space="preserve"> Si que l</w:t>
      </w:r>
      <w:r w:rsidRPr="00E6149C">
        <w:rPr>
          <w:rFonts w:ascii="Times New Roman" w:hAnsi="Times New Roman" w:cs="Times New Roman"/>
        </w:rPr>
        <w:t>a culture du relativisme</w:t>
      </w:r>
      <w:r>
        <w:rPr>
          <w:rFonts w:ascii="Times New Roman" w:hAnsi="Times New Roman" w:cs="Times New Roman"/>
        </w:rPr>
        <w:t xml:space="preserve"> et la grande démesure anthropocentrique avait pu nuire aux liens sociaux et pousser à l’abandon des personnes âgées qui ne servent pas des intérêts personnels (§116 et 123 not.). En clair, les personnes âgées n’ayant aucun rôle actif dans le marché </w:t>
      </w:r>
      <w:r w:rsidR="008C322C">
        <w:rPr>
          <w:rFonts w:ascii="Times New Roman" w:hAnsi="Times New Roman" w:cs="Times New Roman"/>
        </w:rPr>
        <w:t>(</w:t>
      </w:r>
      <w:r>
        <w:rPr>
          <w:rFonts w:ascii="Times New Roman" w:hAnsi="Times New Roman" w:cs="Times New Roman"/>
        </w:rPr>
        <w:t xml:space="preserve">et </w:t>
      </w:r>
      <w:r w:rsidR="008C322C">
        <w:rPr>
          <w:rFonts w:ascii="Times New Roman" w:hAnsi="Times New Roman" w:cs="Times New Roman"/>
        </w:rPr>
        <w:t>bien plus encore pour</w:t>
      </w:r>
      <w:r>
        <w:rPr>
          <w:rFonts w:ascii="Times New Roman" w:hAnsi="Times New Roman" w:cs="Times New Roman"/>
        </w:rPr>
        <w:t xml:space="preserve"> </w:t>
      </w:r>
      <w:r w:rsidR="008C322C">
        <w:rPr>
          <w:rFonts w:ascii="Times New Roman" w:hAnsi="Times New Roman" w:cs="Times New Roman"/>
        </w:rPr>
        <w:t xml:space="preserve">celles </w:t>
      </w:r>
      <w:r>
        <w:rPr>
          <w:rFonts w:ascii="Times New Roman" w:hAnsi="Times New Roman" w:cs="Times New Roman"/>
        </w:rPr>
        <w:t>d’entre elles nécessitant une aide</w:t>
      </w:r>
      <w:r w:rsidR="008C322C">
        <w:rPr>
          <w:rFonts w:ascii="Times New Roman" w:hAnsi="Times New Roman" w:cs="Times New Roman"/>
        </w:rPr>
        <w:t>)</w:t>
      </w:r>
      <w:r>
        <w:rPr>
          <w:rFonts w:ascii="Times New Roman" w:hAnsi="Times New Roman" w:cs="Times New Roman"/>
        </w:rPr>
        <w:t xml:space="preserve">, sont davantage un frein à la société de consommation qu’un vecteur de production et ne justifient ainsi pas une prise en charge par la société. </w:t>
      </w:r>
    </w:p>
    <w:p w14:paraId="2735DE18" w14:textId="7EF059CA" w:rsidR="007278B0" w:rsidRDefault="00E6149C" w:rsidP="007278B0">
      <w:pPr>
        <w:spacing w:after="0"/>
        <w:jc w:val="both"/>
        <w:rPr>
          <w:rFonts w:ascii="Times New Roman" w:hAnsi="Times New Roman" w:cs="Times New Roman"/>
        </w:rPr>
      </w:pPr>
      <w:r>
        <w:rPr>
          <w:rFonts w:ascii="Times New Roman" w:hAnsi="Times New Roman" w:cs="Times New Roman"/>
        </w:rPr>
        <w:t xml:space="preserve">Le </w:t>
      </w:r>
      <w:r w:rsidR="007278B0">
        <w:rPr>
          <w:rFonts w:ascii="Times New Roman" w:hAnsi="Times New Roman" w:cs="Times New Roman"/>
        </w:rPr>
        <w:t>D</w:t>
      </w:r>
      <w:r>
        <w:rPr>
          <w:rFonts w:ascii="Times New Roman" w:hAnsi="Times New Roman" w:cs="Times New Roman"/>
        </w:rPr>
        <w:t xml:space="preserve">roit, quant à lui, </w:t>
      </w:r>
      <w:r w:rsidR="007278B0">
        <w:rPr>
          <w:rFonts w:ascii="Times New Roman" w:hAnsi="Times New Roman" w:cs="Times New Roman"/>
        </w:rPr>
        <w:t xml:space="preserve">a toujours rencontré des difficultés à appréhender la dépendance et les personnes âgées dans la mesure où ces notions ne répondent pas à des critères précis, qui feraient d’elles des éléments déterminés, à défaut déterminables, auxquelles un régime juridique pourrait facilement être appliqué. </w:t>
      </w:r>
    </w:p>
    <w:p w14:paraId="65B197E3" w14:textId="77777777" w:rsidR="008C322C" w:rsidRDefault="008C322C" w:rsidP="007278B0">
      <w:pPr>
        <w:spacing w:after="0"/>
        <w:jc w:val="both"/>
        <w:rPr>
          <w:rFonts w:ascii="Times New Roman" w:hAnsi="Times New Roman" w:cs="Times New Roman"/>
        </w:rPr>
      </w:pPr>
    </w:p>
    <w:p w14:paraId="4E4E8909" w14:textId="41F1C0F8" w:rsidR="00C36B8F" w:rsidRDefault="007278B0" w:rsidP="006D394F">
      <w:pPr>
        <w:spacing w:after="0"/>
        <w:jc w:val="both"/>
        <w:rPr>
          <w:rFonts w:ascii="Times New Roman" w:hAnsi="Times New Roman" w:cs="Times New Roman"/>
        </w:rPr>
      </w:pPr>
      <w:r>
        <w:rPr>
          <w:rFonts w:ascii="Times New Roman" w:hAnsi="Times New Roman" w:cs="Times New Roman"/>
        </w:rPr>
        <w:t xml:space="preserve">De ce fait, pour évincer tout vide ou incertitude juridique dont le Droit a tout autant horreur que la Nature, une législation </w:t>
      </w:r>
      <w:r w:rsidR="00DF5815">
        <w:rPr>
          <w:rFonts w:ascii="Times New Roman" w:hAnsi="Times New Roman" w:cs="Times New Roman"/>
        </w:rPr>
        <w:t>très</w:t>
      </w:r>
      <w:r>
        <w:rPr>
          <w:rFonts w:ascii="Times New Roman" w:hAnsi="Times New Roman" w:cs="Times New Roman"/>
        </w:rPr>
        <w:t xml:space="preserve"> stricte était imposée pour toute personne relevant des deux catégories précitées en matière de dépendance et de grand âge, quant à la question de la gestion de leur patrimoine : </w:t>
      </w:r>
      <w:r w:rsidR="00511C66">
        <w:rPr>
          <w:rFonts w:ascii="Times New Roman" w:hAnsi="Times New Roman" w:cs="Times New Roman"/>
        </w:rPr>
        <w:t>une protection totale et absolue s’appliquait sur le patrimoine de la personne considérée comme vulnérable, qu’elle soit peu</w:t>
      </w:r>
      <w:r w:rsidR="00DF5815">
        <w:rPr>
          <w:rFonts w:ascii="Times New Roman" w:hAnsi="Times New Roman" w:cs="Times New Roman"/>
        </w:rPr>
        <w:t xml:space="preserve"> (pas ?!)</w:t>
      </w:r>
      <w:r w:rsidR="00511C66">
        <w:rPr>
          <w:rFonts w:ascii="Times New Roman" w:hAnsi="Times New Roman" w:cs="Times New Roman"/>
        </w:rPr>
        <w:t xml:space="preserve"> vulnérable ou complètement dépendante</w:t>
      </w:r>
      <w:r w:rsidR="00DF5815">
        <w:rPr>
          <w:rFonts w:ascii="Times New Roman" w:hAnsi="Times New Roman" w:cs="Times New Roman"/>
        </w:rPr>
        <w:t> ;</w:t>
      </w:r>
      <w:r w:rsidR="00511C66">
        <w:rPr>
          <w:rFonts w:ascii="Times New Roman" w:hAnsi="Times New Roman" w:cs="Times New Roman"/>
        </w:rPr>
        <w:t xml:space="preserve"> qu’il s’agisse d’un don d’objet matériel comme d’un don financier. </w:t>
      </w:r>
    </w:p>
    <w:p w14:paraId="7284CF52" w14:textId="77777777" w:rsidR="006D394F" w:rsidRDefault="006D394F" w:rsidP="006D394F">
      <w:pPr>
        <w:spacing w:after="0"/>
        <w:jc w:val="both"/>
        <w:rPr>
          <w:rFonts w:ascii="Times New Roman" w:hAnsi="Times New Roman" w:cs="Times New Roman"/>
        </w:rPr>
      </w:pPr>
    </w:p>
    <w:p w14:paraId="5E084A6A" w14:textId="7B13DE48" w:rsidR="00571BE6" w:rsidRDefault="006D394F" w:rsidP="006D394F">
      <w:pPr>
        <w:jc w:val="both"/>
        <w:rPr>
          <w:rFonts w:ascii="Times New Roman" w:hAnsi="Times New Roman" w:cs="Times New Roman"/>
        </w:rPr>
      </w:pPr>
      <w:r>
        <w:rPr>
          <w:rFonts w:ascii="Times New Roman" w:hAnsi="Times New Roman" w:cs="Times New Roman"/>
        </w:rPr>
        <w:t>L</w:t>
      </w:r>
      <w:r w:rsidRPr="004E4341">
        <w:rPr>
          <w:rFonts w:ascii="Times New Roman" w:hAnsi="Times New Roman" w:cs="Times New Roman"/>
        </w:rPr>
        <w:t xml:space="preserve">e Conseil constitutionnel a eu l’occasion de revenir sur ce régime </w:t>
      </w:r>
      <w:r>
        <w:rPr>
          <w:rFonts w:ascii="Times New Roman" w:hAnsi="Times New Roman" w:cs="Times New Roman"/>
        </w:rPr>
        <w:t>d’interdiction absolue par une décision en date du 12 mars 2021 n°2020-888</w:t>
      </w:r>
      <w:r>
        <w:rPr>
          <w:rStyle w:val="Appelnotedebasdep"/>
          <w:rFonts w:ascii="Times New Roman" w:hAnsi="Times New Roman" w:cs="Times New Roman"/>
        </w:rPr>
        <w:footnoteReference w:id="1"/>
      </w:r>
      <w:r>
        <w:rPr>
          <w:rFonts w:ascii="Times New Roman" w:hAnsi="Times New Roman" w:cs="Times New Roman"/>
        </w:rPr>
        <w:t xml:space="preserve"> s</w:t>
      </w:r>
      <w:r w:rsidR="00C36B8F" w:rsidRPr="004E4341">
        <w:rPr>
          <w:rFonts w:ascii="Times New Roman" w:hAnsi="Times New Roman" w:cs="Times New Roman"/>
        </w:rPr>
        <w:t>uite à une QPC transmise par la Cour de cassation au sujet de la loi n° 2015-1776 du 28 décembre 2015, et plus particulièrement concernant l’article L. 116-4 du Code de l’action sociale et des familles, qui prévoit diverses incapacités de recevoir à l’effet de protéger les personnes vulnérables hébergées dans une institution du secteur médico-social ou aidée à leur domicile par un auxiliaire de vie</w:t>
      </w:r>
      <w:r>
        <w:rPr>
          <w:rFonts w:ascii="Times New Roman" w:hAnsi="Times New Roman" w:cs="Times New Roman"/>
        </w:rPr>
        <w:t xml:space="preserve">. </w:t>
      </w:r>
    </w:p>
    <w:p w14:paraId="40030AFA" w14:textId="7602B5F5" w:rsidR="00155BD3" w:rsidRDefault="00236D28" w:rsidP="00BB15EA">
      <w:pPr>
        <w:jc w:val="both"/>
        <w:rPr>
          <w:rFonts w:ascii="Times New Roman" w:hAnsi="Times New Roman" w:cs="Times New Roman"/>
        </w:rPr>
      </w:pPr>
      <w:r>
        <w:rPr>
          <w:rFonts w:ascii="Times New Roman" w:hAnsi="Times New Roman" w:cs="Times New Roman"/>
        </w:rPr>
        <w:lastRenderedPageBreak/>
        <w:t xml:space="preserve">Par une loi </w:t>
      </w:r>
      <w:r w:rsidRPr="002C3718">
        <w:rPr>
          <w:rFonts w:ascii="Times New Roman" w:hAnsi="Times New Roman" w:cs="Times New Roman"/>
        </w:rPr>
        <w:t>n° 2015-1776 du 28 décembre 2015 relative à l’adaptation de la société au vieillissement</w:t>
      </w:r>
      <w:r w:rsidR="009F2636">
        <w:rPr>
          <w:rStyle w:val="Appelnotedebasdep"/>
          <w:rFonts w:ascii="Times New Roman" w:hAnsi="Times New Roman" w:cs="Times New Roman"/>
        </w:rPr>
        <w:footnoteReference w:id="2"/>
      </w:r>
      <w:r>
        <w:rPr>
          <w:rFonts w:ascii="Times New Roman" w:hAnsi="Times New Roman" w:cs="Times New Roman"/>
        </w:rPr>
        <w:t xml:space="preserve">, </w:t>
      </w:r>
      <w:r w:rsidR="002C3718">
        <w:rPr>
          <w:rFonts w:ascii="Times New Roman" w:hAnsi="Times New Roman" w:cs="Times New Roman"/>
        </w:rPr>
        <w:t>le législateur a estimé nécessaire d’interdire les dons au bénéfice de certaines personnes lorsque les donateurs sont des personnes jugées par le législateur comme étant vulnérables</w:t>
      </w:r>
      <w:r w:rsidR="00155BD3">
        <w:rPr>
          <w:rFonts w:ascii="Times New Roman" w:hAnsi="Times New Roman" w:cs="Times New Roman"/>
        </w:rPr>
        <w:t>, au sens de dépendantes de l’aide qui leur est nécessaire</w:t>
      </w:r>
      <w:r w:rsidR="002C3718">
        <w:rPr>
          <w:rFonts w:ascii="Times New Roman" w:hAnsi="Times New Roman" w:cs="Times New Roman"/>
        </w:rPr>
        <w:t xml:space="preserve">. </w:t>
      </w:r>
      <w:r w:rsidR="00C36B8F">
        <w:rPr>
          <w:rFonts w:ascii="Times New Roman" w:hAnsi="Times New Roman" w:cs="Times New Roman"/>
        </w:rPr>
        <w:t xml:space="preserve">Une </w:t>
      </w:r>
      <w:r w:rsidR="00C36B8F" w:rsidRPr="00C27EAA">
        <w:rPr>
          <w:rFonts w:ascii="Times New Roman" w:hAnsi="Times New Roman" w:cs="Times New Roman"/>
          <w:i/>
          <w:iCs/>
        </w:rPr>
        <w:t>interdiction de recevoir</w:t>
      </w:r>
      <w:r w:rsidR="009F2636">
        <w:rPr>
          <w:rStyle w:val="Appelnotedebasdep"/>
          <w:rFonts w:ascii="Times New Roman" w:hAnsi="Times New Roman" w:cs="Times New Roman"/>
        </w:rPr>
        <w:footnoteReference w:id="3"/>
      </w:r>
      <w:r w:rsidR="00C36B8F">
        <w:rPr>
          <w:rFonts w:ascii="Times New Roman" w:hAnsi="Times New Roman" w:cs="Times New Roman"/>
        </w:rPr>
        <w:t xml:space="preserve"> existe ainsi à l’encontre des auxiliaires de vie</w:t>
      </w:r>
      <w:r w:rsidR="009F2636">
        <w:rPr>
          <w:rFonts w:ascii="Times New Roman" w:hAnsi="Times New Roman" w:cs="Times New Roman"/>
        </w:rPr>
        <w:t xml:space="preserve"> à domicile</w:t>
      </w:r>
      <w:r w:rsidR="00C36B8F">
        <w:rPr>
          <w:rFonts w:ascii="Times New Roman" w:hAnsi="Times New Roman" w:cs="Times New Roman"/>
        </w:rPr>
        <w:t xml:space="preserve">, des personnes en charge du service à la personne ou de toute autre personne salariée travaillant dans une structure d’accueil et/ou d’hébergement de personnes vulnérables, lesquelles ont, quant à elles, une </w:t>
      </w:r>
      <w:r w:rsidR="00C36B8F" w:rsidRPr="00C27EAA">
        <w:rPr>
          <w:rFonts w:ascii="Times New Roman" w:hAnsi="Times New Roman" w:cs="Times New Roman"/>
          <w:i/>
          <w:iCs/>
        </w:rPr>
        <w:t>interdiction de disposer</w:t>
      </w:r>
      <w:r w:rsidR="009F2636">
        <w:rPr>
          <w:rStyle w:val="Appelnotedebasdep"/>
          <w:rFonts w:ascii="Times New Roman" w:hAnsi="Times New Roman" w:cs="Times New Roman"/>
        </w:rPr>
        <w:footnoteReference w:id="4"/>
      </w:r>
      <w:r w:rsidR="00C36B8F">
        <w:rPr>
          <w:rFonts w:ascii="Times New Roman" w:hAnsi="Times New Roman" w:cs="Times New Roman"/>
        </w:rPr>
        <w:t xml:space="preserve">. </w:t>
      </w:r>
    </w:p>
    <w:p w14:paraId="6BB5E325" w14:textId="182498FB" w:rsidR="002C3718" w:rsidRDefault="00155BD3" w:rsidP="00BB15EA">
      <w:pPr>
        <w:jc w:val="both"/>
        <w:rPr>
          <w:rFonts w:ascii="Times New Roman" w:hAnsi="Times New Roman" w:cs="Times New Roman"/>
        </w:rPr>
      </w:pPr>
      <w:r>
        <w:rPr>
          <w:rFonts w:ascii="Times New Roman" w:hAnsi="Times New Roman" w:cs="Times New Roman"/>
        </w:rPr>
        <w:t>P</w:t>
      </w:r>
      <w:r w:rsidR="00C374F5">
        <w:rPr>
          <w:rFonts w:ascii="Times New Roman" w:hAnsi="Times New Roman" w:cs="Times New Roman"/>
        </w:rPr>
        <w:t xml:space="preserve">lusieurs observations peuvent être soulevées à la suite de la décision rendue par le Conseil constitutionnel. </w:t>
      </w:r>
    </w:p>
    <w:p w14:paraId="4F0D8D28" w14:textId="5D9E0DAA" w:rsidR="00155BD3" w:rsidRDefault="00155BD3" w:rsidP="00BB15EA">
      <w:pPr>
        <w:jc w:val="both"/>
        <w:rPr>
          <w:rFonts w:ascii="Times New Roman" w:hAnsi="Times New Roman" w:cs="Times New Roman"/>
          <w:b/>
          <w:bCs/>
          <w:u w:val="single"/>
        </w:rPr>
      </w:pPr>
      <w:r w:rsidRPr="00155BD3">
        <w:rPr>
          <w:rFonts w:ascii="Times New Roman" w:hAnsi="Times New Roman" w:cs="Times New Roman"/>
          <w:b/>
          <w:bCs/>
          <w:u w:val="single"/>
        </w:rPr>
        <w:t xml:space="preserve">I. </w:t>
      </w:r>
      <w:r w:rsidR="001073FA">
        <w:rPr>
          <w:rFonts w:ascii="Times New Roman" w:hAnsi="Times New Roman" w:cs="Times New Roman"/>
          <w:b/>
          <w:bCs/>
          <w:u w:val="single"/>
        </w:rPr>
        <w:t>La</w:t>
      </w:r>
      <w:r w:rsidR="00C27EAA">
        <w:rPr>
          <w:rFonts w:ascii="Times New Roman" w:hAnsi="Times New Roman" w:cs="Times New Roman"/>
          <w:b/>
          <w:bCs/>
          <w:u w:val="single"/>
        </w:rPr>
        <w:t xml:space="preserve"> décision du Conseil constitutionnel</w:t>
      </w:r>
    </w:p>
    <w:p w14:paraId="137F26D3" w14:textId="46AB71F3" w:rsidR="00787552" w:rsidRPr="00787552" w:rsidRDefault="00787552" w:rsidP="00BB15EA">
      <w:pPr>
        <w:jc w:val="both"/>
        <w:rPr>
          <w:rFonts w:ascii="Times New Roman" w:hAnsi="Times New Roman" w:cs="Times New Roman"/>
        </w:rPr>
      </w:pPr>
      <w:r w:rsidRPr="00787552">
        <w:rPr>
          <w:rFonts w:ascii="Times New Roman" w:hAnsi="Times New Roman" w:cs="Times New Roman"/>
        </w:rPr>
        <w:t xml:space="preserve">La décision du Conseil constitutionnel est particulièrement riche </w:t>
      </w:r>
      <w:r>
        <w:rPr>
          <w:rFonts w:ascii="Times New Roman" w:hAnsi="Times New Roman" w:cs="Times New Roman"/>
        </w:rPr>
        <w:t xml:space="preserve">de réflexions puisqu’elle se fonde sur l’interdiction de disposer (et non sur l’interdiction de recevoir) pour évaluer la constitutionnalité de la disposition sur le fondement du droit de propriété (A) et en déduire qu’eu égard à ce contrôle notamment de proportionnalité, l’article L116-4 du CASF n’est pas conforme à la Constitution (B). </w:t>
      </w:r>
    </w:p>
    <w:p w14:paraId="692550FA" w14:textId="493C1BD6" w:rsidR="001073FA" w:rsidRPr="00155BD3" w:rsidRDefault="001073FA" w:rsidP="00BB15EA">
      <w:pPr>
        <w:jc w:val="both"/>
        <w:rPr>
          <w:rFonts w:ascii="Times New Roman" w:hAnsi="Times New Roman" w:cs="Times New Roman"/>
          <w:b/>
          <w:bCs/>
          <w:u w:val="single"/>
        </w:rPr>
      </w:pPr>
      <w:r>
        <w:rPr>
          <w:rFonts w:ascii="Times New Roman" w:hAnsi="Times New Roman" w:cs="Times New Roman"/>
          <w:b/>
          <w:bCs/>
          <w:u w:val="single"/>
        </w:rPr>
        <w:t xml:space="preserve">A. Le droit de propriété, source de l’interdiction de disposer </w:t>
      </w:r>
    </w:p>
    <w:p w14:paraId="2B45BA54" w14:textId="74489B5C" w:rsidR="00C27EAA" w:rsidRDefault="000D0064" w:rsidP="000D0064">
      <w:pPr>
        <w:jc w:val="both"/>
        <w:rPr>
          <w:rFonts w:ascii="Times New Roman" w:hAnsi="Times New Roman" w:cs="Times New Roman"/>
        </w:rPr>
      </w:pPr>
      <w:r>
        <w:rPr>
          <w:rFonts w:ascii="Times New Roman" w:hAnsi="Times New Roman" w:cs="Times New Roman"/>
        </w:rPr>
        <w:t xml:space="preserve">Le législateur avait fondé l’interdiction des donations entre personnes nécessitant de l’aide et personnels aidants sur une </w:t>
      </w:r>
      <w:r w:rsidRPr="00144CD9">
        <w:rPr>
          <w:rFonts w:ascii="Times New Roman" w:hAnsi="Times New Roman" w:cs="Times New Roman"/>
          <w:i/>
          <w:iCs/>
        </w:rPr>
        <w:t>interdiction de recevoir</w:t>
      </w:r>
      <w:r>
        <w:rPr>
          <w:rFonts w:ascii="Times New Roman" w:hAnsi="Times New Roman" w:cs="Times New Roman"/>
        </w:rPr>
        <w:t>. Ce</w:t>
      </w:r>
      <w:r w:rsidR="00144CD9">
        <w:rPr>
          <w:rFonts w:ascii="Times New Roman" w:hAnsi="Times New Roman" w:cs="Times New Roman"/>
        </w:rPr>
        <w:t>tte interdiction</w:t>
      </w:r>
      <w:r>
        <w:rPr>
          <w:rFonts w:ascii="Times New Roman" w:hAnsi="Times New Roman" w:cs="Times New Roman"/>
        </w:rPr>
        <w:t xml:space="preserve"> trahissait ainsi une volonté du législateur d’encadrer les agissements du personnel soignant </w:t>
      </w:r>
      <w:r w:rsidR="00144CD9">
        <w:rPr>
          <w:rFonts w:ascii="Times New Roman" w:hAnsi="Times New Roman" w:cs="Times New Roman"/>
        </w:rPr>
        <w:t>en raison d’une</w:t>
      </w:r>
      <w:r>
        <w:rPr>
          <w:rFonts w:ascii="Times New Roman" w:hAnsi="Times New Roman" w:cs="Times New Roman"/>
        </w:rPr>
        <w:t xml:space="preserve"> crainte, justifiée ou non, d’un </w:t>
      </w:r>
      <w:r w:rsidR="00C27EAA">
        <w:rPr>
          <w:rFonts w:ascii="Times New Roman" w:hAnsi="Times New Roman" w:cs="Times New Roman"/>
        </w:rPr>
        <w:t>« </w:t>
      </w:r>
      <w:r>
        <w:rPr>
          <w:rFonts w:ascii="Times New Roman" w:hAnsi="Times New Roman" w:cs="Times New Roman"/>
        </w:rPr>
        <w:t xml:space="preserve">abus </w:t>
      </w:r>
      <w:r w:rsidR="00C27EAA">
        <w:rPr>
          <w:rFonts w:ascii="Times New Roman" w:hAnsi="Times New Roman" w:cs="Times New Roman"/>
        </w:rPr>
        <w:t>d’influence de volonté »</w:t>
      </w:r>
      <w:r w:rsidR="00C27EAA">
        <w:rPr>
          <w:rStyle w:val="Appelnotedebasdep"/>
          <w:rFonts w:ascii="Times New Roman" w:hAnsi="Times New Roman" w:cs="Times New Roman"/>
        </w:rPr>
        <w:footnoteReference w:id="5"/>
      </w:r>
      <w:r w:rsidR="00C27EAA">
        <w:rPr>
          <w:rFonts w:ascii="Times New Roman" w:hAnsi="Times New Roman" w:cs="Times New Roman"/>
        </w:rPr>
        <w:t xml:space="preserve"> </w:t>
      </w:r>
      <w:r>
        <w:rPr>
          <w:rFonts w:ascii="Times New Roman" w:hAnsi="Times New Roman" w:cs="Times New Roman"/>
        </w:rPr>
        <w:t>de ceux-ci</w:t>
      </w:r>
      <w:r w:rsidR="00144CD9">
        <w:rPr>
          <w:rFonts w:ascii="Times New Roman" w:hAnsi="Times New Roman" w:cs="Times New Roman"/>
        </w:rPr>
        <w:t xml:space="preserve"> afin de recevoir des dons. </w:t>
      </w:r>
      <w:r w:rsidR="00C27EAA">
        <w:rPr>
          <w:rFonts w:ascii="Times New Roman" w:hAnsi="Times New Roman" w:cs="Times New Roman"/>
        </w:rPr>
        <w:t xml:space="preserve">L’interdiction (ou non) de recevoir n’est pas prévue par la Constitution et le Conseil constitutionnel a déjà rappelé que le droit de propriété ne </w:t>
      </w:r>
      <w:r w:rsidR="00EA41C3">
        <w:rPr>
          <w:rFonts w:ascii="Times New Roman" w:hAnsi="Times New Roman" w:cs="Times New Roman"/>
        </w:rPr>
        <w:t>fait découler de son application</w:t>
      </w:r>
      <w:r w:rsidR="00C27EAA">
        <w:rPr>
          <w:rFonts w:ascii="Times New Roman" w:hAnsi="Times New Roman" w:cs="Times New Roman"/>
        </w:rPr>
        <w:t xml:space="preserve"> un droit à recevoir à titre gratuit</w:t>
      </w:r>
      <w:r w:rsidR="00EA41C3">
        <w:rPr>
          <w:rStyle w:val="Appelnotedebasdep"/>
          <w:rFonts w:ascii="Times New Roman" w:hAnsi="Times New Roman" w:cs="Times New Roman"/>
        </w:rPr>
        <w:footnoteReference w:id="6"/>
      </w:r>
      <w:r w:rsidR="00EA41C3">
        <w:rPr>
          <w:rFonts w:ascii="Times New Roman" w:hAnsi="Times New Roman" w:cs="Times New Roman"/>
        </w:rPr>
        <w:t xml:space="preserve">. </w:t>
      </w:r>
      <w:r w:rsidR="00C27EAA">
        <w:rPr>
          <w:rFonts w:ascii="Times New Roman" w:hAnsi="Times New Roman" w:cs="Times New Roman"/>
        </w:rPr>
        <w:t xml:space="preserve"> </w:t>
      </w:r>
    </w:p>
    <w:p w14:paraId="0FCC23AF" w14:textId="06731AE7" w:rsidR="000D0064" w:rsidRDefault="00144CD9" w:rsidP="000D0064">
      <w:pPr>
        <w:jc w:val="both"/>
        <w:rPr>
          <w:rFonts w:ascii="Times New Roman" w:hAnsi="Times New Roman" w:cs="Times New Roman"/>
        </w:rPr>
      </w:pPr>
      <w:r>
        <w:rPr>
          <w:rFonts w:ascii="Times New Roman" w:hAnsi="Times New Roman" w:cs="Times New Roman"/>
        </w:rPr>
        <w:t>Le Conseil constitutionnel, quant à lui, s’est fondé sur l’</w:t>
      </w:r>
      <w:r w:rsidRPr="00144CD9">
        <w:rPr>
          <w:rFonts w:ascii="Times New Roman" w:hAnsi="Times New Roman" w:cs="Times New Roman"/>
          <w:i/>
          <w:iCs/>
        </w:rPr>
        <w:t xml:space="preserve">interdiction de disposer </w:t>
      </w:r>
      <w:r>
        <w:rPr>
          <w:rFonts w:ascii="Times New Roman" w:hAnsi="Times New Roman" w:cs="Times New Roman"/>
        </w:rPr>
        <w:t>(corollaire logique à la première interdiction) pour déclarer une partie des dispositions légales soumises à son contrôle comme étant inconstitutionnelles</w:t>
      </w:r>
      <w:r w:rsidR="00F253A5">
        <w:rPr>
          <w:rFonts w:ascii="Times New Roman" w:hAnsi="Times New Roman" w:cs="Times New Roman"/>
        </w:rPr>
        <w:t xml:space="preserve">. Or, le droit de disposer est une des facettes du droit de propriété puisqu’il est directement lié à la question de l’utilisation de sa propriété. De jurisprudence constante, le Conseil </w:t>
      </w:r>
      <w:r w:rsidR="00F253A5">
        <w:rPr>
          <w:rFonts w:ascii="Times New Roman" w:hAnsi="Times New Roman" w:cs="Times New Roman"/>
        </w:rPr>
        <w:lastRenderedPageBreak/>
        <w:t>constitutionnel a déjà rappelé qu’en ce sens, le droit de disposer était « un attribut essentiel du droit de propriété »</w:t>
      </w:r>
      <w:r w:rsidR="00F253A5">
        <w:rPr>
          <w:rStyle w:val="Appelnotedebasdep"/>
          <w:rFonts w:ascii="Times New Roman" w:hAnsi="Times New Roman" w:cs="Times New Roman"/>
        </w:rPr>
        <w:footnoteReference w:id="7"/>
      </w:r>
      <w:r w:rsidR="00F253A5">
        <w:rPr>
          <w:rFonts w:ascii="Times New Roman" w:hAnsi="Times New Roman" w:cs="Times New Roman"/>
        </w:rPr>
        <w:t xml:space="preserve"> et que toute limite à ce droit constituait une limite au droit de propriété</w:t>
      </w:r>
      <w:r w:rsidR="00F253A5">
        <w:rPr>
          <w:rStyle w:val="Appelnotedebasdep"/>
          <w:rFonts w:ascii="Times New Roman" w:hAnsi="Times New Roman" w:cs="Times New Roman"/>
        </w:rPr>
        <w:footnoteReference w:id="8"/>
      </w:r>
      <w:r w:rsidR="00F253A5">
        <w:rPr>
          <w:rFonts w:ascii="Times New Roman" w:hAnsi="Times New Roman" w:cs="Times New Roman"/>
        </w:rPr>
        <w:t xml:space="preserve">. </w:t>
      </w:r>
    </w:p>
    <w:p w14:paraId="08DBC379" w14:textId="67CE6AD1" w:rsidR="0024363A" w:rsidRDefault="0024363A" w:rsidP="000D0064">
      <w:pPr>
        <w:jc w:val="both"/>
        <w:rPr>
          <w:rFonts w:ascii="Times New Roman" w:hAnsi="Times New Roman" w:cs="Times New Roman"/>
        </w:rPr>
      </w:pPr>
      <w:r>
        <w:rPr>
          <w:rFonts w:ascii="Times New Roman" w:hAnsi="Times New Roman" w:cs="Times New Roman"/>
        </w:rPr>
        <w:t>Le droit de propriété est fondé sur les articles 2 et 17 de la Déclaration des droits de l’homme et du citoyen de 1780 et a été intégré dans le bloc de constitutionnalité en 1971. C’est véritablement en 1982 que Conseil constitutionnel a contrôlé pour la première fois la constitutionnalité des lois à la lumière des deux articles précités</w:t>
      </w:r>
      <w:r>
        <w:rPr>
          <w:rStyle w:val="Appelnotedebasdep"/>
          <w:rFonts w:ascii="Times New Roman" w:hAnsi="Times New Roman" w:cs="Times New Roman"/>
        </w:rPr>
        <w:footnoteReference w:id="9"/>
      </w:r>
      <w:r>
        <w:rPr>
          <w:rFonts w:ascii="Times New Roman" w:hAnsi="Times New Roman" w:cs="Times New Roman"/>
        </w:rPr>
        <w:t xml:space="preserve">. Depuis, le Conseil constitutionnel n’a cessé de reconnaître une force </w:t>
      </w:r>
      <w:r w:rsidR="00A836FA">
        <w:rPr>
          <w:rFonts w:ascii="Times New Roman" w:hAnsi="Times New Roman" w:cs="Times New Roman"/>
        </w:rPr>
        <w:t>grandissante</w:t>
      </w:r>
      <w:r>
        <w:rPr>
          <w:rFonts w:ascii="Times New Roman" w:hAnsi="Times New Roman" w:cs="Times New Roman"/>
        </w:rPr>
        <w:t xml:space="preserve"> au droit de propriété</w:t>
      </w:r>
      <w:r w:rsidR="00A836FA">
        <w:rPr>
          <w:rStyle w:val="Appelnotedebasdep"/>
          <w:rFonts w:ascii="Times New Roman" w:hAnsi="Times New Roman" w:cs="Times New Roman"/>
        </w:rPr>
        <w:footnoteReference w:id="10"/>
      </w:r>
      <w:r>
        <w:rPr>
          <w:rFonts w:ascii="Times New Roman" w:hAnsi="Times New Roman" w:cs="Times New Roman"/>
        </w:rPr>
        <w:t>, lui conférant ainsi une protectio</w:t>
      </w:r>
      <w:r w:rsidR="00A836FA">
        <w:rPr>
          <w:rFonts w:ascii="Times New Roman" w:hAnsi="Times New Roman" w:cs="Times New Roman"/>
        </w:rPr>
        <w:t xml:space="preserve">n très importante. </w:t>
      </w:r>
    </w:p>
    <w:p w14:paraId="74E4BA6D" w14:textId="00D970A6" w:rsidR="00A836FA" w:rsidRDefault="00A836FA" w:rsidP="000D0064">
      <w:pPr>
        <w:jc w:val="both"/>
        <w:rPr>
          <w:rFonts w:ascii="Times New Roman" w:hAnsi="Times New Roman" w:cs="Times New Roman"/>
        </w:rPr>
      </w:pPr>
      <w:r>
        <w:rPr>
          <w:rFonts w:ascii="Times New Roman" w:hAnsi="Times New Roman" w:cs="Times New Roman"/>
        </w:rPr>
        <w:t>Le droit de propriété est protégé de deux façons</w:t>
      </w:r>
      <w:r w:rsidR="00FF2BAC">
        <w:rPr>
          <w:rFonts w:ascii="Times New Roman" w:hAnsi="Times New Roman" w:cs="Times New Roman"/>
        </w:rPr>
        <w:t xml:space="preserve"> selon la nature de la violation en cause</w:t>
      </w:r>
      <w:r>
        <w:rPr>
          <w:rFonts w:ascii="Times New Roman" w:hAnsi="Times New Roman" w:cs="Times New Roman"/>
        </w:rPr>
        <w:t>. Soit il s’agit d’une privation du droit de propriété, alors dans ce cas</w:t>
      </w:r>
      <w:r w:rsidR="00FF2BAC">
        <w:rPr>
          <w:rFonts w:ascii="Times New Roman" w:hAnsi="Times New Roman" w:cs="Times New Roman"/>
        </w:rPr>
        <w:t>, se fondant sur l’article 17 de la DDHC,</w:t>
      </w:r>
      <w:r>
        <w:rPr>
          <w:rFonts w:ascii="Times New Roman" w:hAnsi="Times New Roman" w:cs="Times New Roman"/>
        </w:rPr>
        <w:t xml:space="preserve"> le Conseil constitutionnel vérifie si la mesure contestée est justifiée par une mesure de nécessité publique </w:t>
      </w:r>
      <w:r w:rsidR="00FF2BAC">
        <w:rPr>
          <w:rFonts w:ascii="Times New Roman" w:hAnsi="Times New Roman" w:cs="Times New Roman"/>
        </w:rPr>
        <w:t>et si l’indemnité prévue est juste et préalable à la violation</w:t>
      </w:r>
      <w:r w:rsidR="00FF2BAC">
        <w:rPr>
          <w:rStyle w:val="Appelnotedebasdep"/>
          <w:rFonts w:ascii="Times New Roman" w:hAnsi="Times New Roman" w:cs="Times New Roman"/>
        </w:rPr>
        <w:footnoteReference w:id="11"/>
      </w:r>
      <w:r w:rsidR="00FF2BAC">
        <w:rPr>
          <w:rFonts w:ascii="Times New Roman" w:hAnsi="Times New Roman" w:cs="Times New Roman"/>
        </w:rPr>
        <w:t xml:space="preserve">. Lorsqu’il ne s’agit pas d’une privation du droit de propriété, </w:t>
      </w:r>
      <w:r w:rsidR="00357C04">
        <w:rPr>
          <w:rFonts w:ascii="Times New Roman" w:hAnsi="Times New Roman" w:cs="Times New Roman"/>
        </w:rPr>
        <w:t>mais une limitation des conditions d’exercice du droit de propriété, ce qui est le cas en l’espèce, le Conseil constitutionnel vérifie, plus spécifiquement sur le fondement de l’article 2 de la DDHC, si l’atteinte est justifiée par un motif d’intérêt général et qu’elle est proportionnée au but poursuivi</w:t>
      </w:r>
      <w:r w:rsidR="00357C04">
        <w:rPr>
          <w:rStyle w:val="Appelnotedebasdep"/>
          <w:rFonts w:ascii="Times New Roman" w:hAnsi="Times New Roman" w:cs="Times New Roman"/>
        </w:rPr>
        <w:footnoteReference w:id="12"/>
      </w:r>
      <w:r w:rsidR="00357C04">
        <w:rPr>
          <w:rFonts w:ascii="Times New Roman" w:hAnsi="Times New Roman" w:cs="Times New Roman"/>
        </w:rPr>
        <w:t xml:space="preserve">. </w:t>
      </w:r>
    </w:p>
    <w:p w14:paraId="3433E576" w14:textId="6886A82A" w:rsidR="00FF2BAC" w:rsidRPr="000349E9" w:rsidRDefault="00B730A5" w:rsidP="004F2909">
      <w:pPr>
        <w:rPr>
          <w:rFonts w:ascii="Times New Roman" w:hAnsi="Times New Roman" w:cs="Times New Roman"/>
          <w:b/>
          <w:bCs/>
          <w:u w:val="single"/>
        </w:rPr>
      </w:pPr>
      <w:r w:rsidRPr="000349E9">
        <w:rPr>
          <w:rFonts w:ascii="Times New Roman" w:hAnsi="Times New Roman" w:cs="Times New Roman"/>
          <w:b/>
          <w:bCs/>
          <w:u w:val="single"/>
        </w:rPr>
        <w:t>B. L’interdiction de disposer, contraire au droit de propriété</w:t>
      </w:r>
    </w:p>
    <w:p w14:paraId="05DF9125" w14:textId="77777777" w:rsidR="00B730A5" w:rsidRDefault="00B730A5" w:rsidP="00B730A5">
      <w:pPr>
        <w:jc w:val="both"/>
        <w:rPr>
          <w:rFonts w:ascii="Times New Roman" w:hAnsi="Times New Roman" w:cs="Times New Roman"/>
        </w:rPr>
      </w:pPr>
      <w:r>
        <w:rPr>
          <w:rFonts w:ascii="Times New Roman" w:hAnsi="Times New Roman" w:cs="Times New Roman"/>
        </w:rPr>
        <w:t xml:space="preserve">Dans sa décision du 12 mars 2021, le Conseil constitutionnel admet que la protection des personnes vulnérables relève d’un objectif d’intérêt général, -ce que la crise sanitaire actuelle ne saurait contester. </w:t>
      </w:r>
    </w:p>
    <w:p w14:paraId="6CCFEBC4" w14:textId="77777777" w:rsidR="00B730A5" w:rsidRDefault="00B730A5" w:rsidP="00B730A5">
      <w:pPr>
        <w:jc w:val="both"/>
        <w:rPr>
          <w:rFonts w:ascii="Times New Roman" w:hAnsi="Times New Roman" w:cs="Times New Roman"/>
        </w:rPr>
      </w:pPr>
      <w:r>
        <w:rPr>
          <w:rFonts w:ascii="Times New Roman" w:hAnsi="Times New Roman" w:cs="Times New Roman"/>
        </w:rPr>
        <w:t>Il considère toutefois que l’interdiction de disposer n’est pas proportionnée au but poursuivi (ici la protection des personnes vulnérables) et ce a</w:t>
      </w:r>
      <w:r w:rsidRPr="002D37F6">
        <w:rPr>
          <w:rFonts w:ascii="Times New Roman" w:hAnsi="Times New Roman" w:cs="Times New Roman"/>
        </w:rPr>
        <w:t xml:space="preserve">lors même que le législateur avait limité l’interdiction de recevoir. </w:t>
      </w:r>
    </w:p>
    <w:p w14:paraId="78248A53" w14:textId="2ECA9B6C" w:rsidR="00BF30E8" w:rsidRDefault="00B730A5" w:rsidP="00B730A5">
      <w:pPr>
        <w:jc w:val="both"/>
        <w:rPr>
          <w:rFonts w:ascii="Times New Roman" w:hAnsi="Times New Roman" w:cs="Times New Roman"/>
        </w:rPr>
      </w:pPr>
      <w:r>
        <w:rPr>
          <w:rFonts w:ascii="Times New Roman" w:hAnsi="Times New Roman" w:cs="Times New Roman"/>
        </w:rPr>
        <w:t xml:space="preserve">En effet, même si le Conseil constitutionnel </w:t>
      </w:r>
      <w:r w:rsidR="00300FF7">
        <w:rPr>
          <w:rFonts w:ascii="Times New Roman" w:hAnsi="Times New Roman" w:cs="Times New Roman"/>
        </w:rPr>
        <w:t>reconnaît des limitations législatives</w:t>
      </w:r>
      <w:r w:rsidR="00BF30E8">
        <w:rPr>
          <w:rStyle w:val="Appelnotedebasdep"/>
          <w:rFonts w:ascii="Times New Roman" w:hAnsi="Times New Roman" w:cs="Times New Roman"/>
        </w:rPr>
        <w:footnoteReference w:id="13"/>
      </w:r>
      <w:r w:rsidR="00300FF7">
        <w:rPr>
          <w:rFonts w:ascii="Times New Roman" w:hAnsi="Times New Roman" w:cs="Times New Roman"/>
        </w:rPr>
        <w:t xml:space="preserve"> à l’interdiction de recevoir (</w:t>
      </w:r>
      <w:r w:rsidRPr="002D37F6">
        <w:rPr>
          <w:rFonts w:ascii="Times New Roman" w:hAnsi="Times New Roman" w:cs="Times New Roman"/>
        </w:rPr>
        <w:t xml:space="preserve">les gratifications rémunératoires </w:t>
      </w:r>
      <w:r>
        <w:rPr>
          <w:rFonts w:ascii="Times New Roman" w:hAnsi="Times New Roman" w:cs="Times New Roman"/>
        </w:rPr>
        <w:t>ne sont</w:t>
      </w:r>
      <w:r w:rsidRPr="002D37F6">
        <w:rPr>
          <w:rFonts w:ascii="Times New Roman" w:hAnsi="Times New Roman" w:cs="Times New Roman"/>
        </w:rPr>
        <w:t xml:space="preserve"> pas comprises dans l’interdiction ; ensuite, l’interdiction </w:t>
      </w:r>
      <w:r>
        <w:rPr>
          <w:rFonts w:ascii="Times New Roman" w:hAnsi="Times New Roman" w:cs="Times New Roman"/>
        </w:rPr>
        <w:t>est</w:t>
      </w:r>
      <w:r w:rsidRPr="002D37F6">
        <w:rPr>
          <w:rFonts w:ascii="Times New Roman" w:hAnsi="Times New Roman" w:cs="Times New Roman"/>
        </w:rPr>
        <w:t xml:space="preserve"> limitée au seul moment d’assistance de la personne vulnérable, enfin, l’interdiction </w:t>
      </w:r>
      <w:r>
        <w:rPr>
          <w:rFonts w:ascii="Times New Roman" w:hAnsi="Times New Roman" w:cs="Times New Roman"/>
        </w:rPr>
        <w:t>n’est</w:t>
      </w:r>
      <w:r w:rsidRPr="002D37F6">
        <w:rPr>
          <w:rFonts w:ascii="Times New Roman" w:hAnsi="Times New Roman" w:cs="Times New Roman"/>
        </w:rPr>
        <w:t xml:space="preserve"> pas admise pour les héritiers en ligne directe ou les parents jusqu’au 4ème degré</w:t>
      </w:r>
      <w:r w:rsidR="00300FF7">
        <w:rPr>
          <w:rFonts w:ascii="Times New Roman" w:hAnsi="Times New Roman" w:cs="Times New Roman"/>
        </w:rPr>
        <w:t>) pouvant atténuer l’interdiction absolue, pour les Sages de la rue Montpensier une disproportion subsiste entre les moyens mis en œuvre pour protéger les personnes vulnérables – l’interdiction de disposer- et l’objectif d’intérêt général – la protection de ces dernières</w:t>
      </w:r>
      <w:r w:rsidRPr="002D37F6">
        <w:rPr>
          <w:rFonts w:ascii="Times New Roman" w:hAnsi="Times New Roman" w:cs="Times New Roman"/>
        </w:rPr>
        <w:t xml:space="preserve">. </w:t>
      </w:r>
    </w:p>
    <w:p w14:paraId="0509739C" w14:textId="6E7FC71E" w:rsidR="00B730A5" w:rsidRDefault="001268EF" w:rsidP="00B730A5">
      <w:pPr>
        <w:jc w:val="both"/>
        <w:rPr>
          <w:rFonts w:ascii="Times New Roman" w:hAnsi="Times New Roman" w:cs="Times New Roman"/>
        </w:rPr>
      </w:pPr>
      <w:r>
        <w:rPr>
          <w:rFonts w:ascii="Times New Roman" w:hAnsi="Times New Roman" w:cs="Times New Roman"/>
        </w:rPr>
        <w:t>Plus précisément, d</w:t>
      </w:r>
      <w:r w:rsidR="00B730A5">
        <w:rPr>
          <w:rFonts w:ascii="Times New Roman" w:hAnsi="Times New Roman" w:cs="Times New Roman"/>
        </w:rPr>
        <w:t>ans cette décision du 12 mars 2021, le Conseil constitutionnel se positionne très clairement sur deux points majeurs : d’une part, il estime que « </w:t>
      </w:r>
      <w:r w:rsidR="00B730A5" w:rsidRPr="00A82A34">
        <w:rPr>
          <w:rFonts w:ascii="Times New Roman" w:hAnsi="Times New Roman" w:cs="Times New Roman"/>
        </w:rPr>
        <w:t>« il ne peut se déduire du seul fait que les personnes auxquelles une assistance est apportée sont âgées, handicapées ou dans une autre situation nécessitant cette assistance pour favoriser leur maintien à domicile que leur capacité à consentir est altérée »</w:t>
      </w:r>
      <w:r w:rsidR="00B730A5">
        <w:rPr>
          <w:rFonts w:ascii="Times New Roman" w:hAnsi="Times New Roman" w:cs="Times New Roman"/>
        </w:rPr>
        <w:t>. D’autre part, le Conseil relève que « </w:t>
      </w:r>
      <w:r w:rsidR="00B730A5" w:rsidRPr="00A82A34">
        <w:rPr>
          <w:rFonts w:ascii="Times New Roman" w:hAnsi="Times New Roman" w:cs="Times New Roman"/>
        </w:rPr>
        <w:t xml:space="preserve">« l’interdiction s’applique même dans le cas où pourrait </w:t>
      </w:r>
      <w:r w:rsidR="00B730A5" w:rsidRPr="00A82A34">
        <w:rPr>
          <w:rFonts w:ascii="Times New Roman" w:hAnsi="Times New Roman" w:cs="Times New Roman"/>
        </w:rPr>
        <w:lastRenderedPageBreak/>
        <w:t>être apportée la preuve de l’absence de vulnérabilité ou de dépendance du donateur à l’égard de la personne qui l’assiste »</w:t>
      </w:r>
      <w:r w:rsidR="00B730A5">
        <w:rPr>
          <w:rFonts w:ascii="Times New Roman" w:hAnsi="Times New Roman" w:cs="Times New Roman"/>
        </w:rPr>
        <w:t>, ce qui pose une interdiction totale de principe</w:t>
      </w:r>
      <w:r w:rsidR="00B730A5" w:rsidRPr="00A82A34">
        <w:rPr>
          <w:rFonts w:ascii="Times New Roman" w:hAnsi="Times New Roman" w:cs="Times New Roman"/>
        </w:rPr>
        <w:t>.</w:t>
      </w:r>
      <w:r w:rsidR="00B730A5">
        <w:rPr>
          <w:rFonts w:ascii="Times New Roman" w:hAnsi="Times New Roman" w:cs="Times New Roman"/>
        </w:rPr>
        <w:t xml:space="preserve"> </w:t>
      </w:r>
    </w:p>
    <w:p w14:paraId="56EA8C5B" w14:textId="3D57CAE6" w:rsidR="004E4341" w:rsidRDefault="00B730A5" w:rsidP="00BB15EA">
      <w:pPr>
        <w:jc w:val="both"/>
        <w:rPr>
          <w:rFonts w:ascii="Times New Roman" w:hAnsi="Times New Roman" w:cs="Times New Roman"/>
        </w:rPr>
      </w:pPr>
      <w:r>
        <w:rPr>
          <w:rFonts w:ascii="Times New Roman" w:hAnsi="Times New Roman" w:cs="Times New Roman"/>
        </w:rPr>
        <w:t xml:space="preserve">En clair, le législateur ne fait pas de nuances, ni sur la qualification de personne vulnérable du fait de l’état de la personne, ni de sa vulnérabilité du fait de l’altération de ses capacités mentales, ce que le Conseil constitutionnel condamne. </w:t>
      </w:r>
    </w:p>
    <w:p w14:paraId="340B31B9" w14:textId="5AB4308A" w:rsidR="005435B9" w:rsidRDefault="005435B9" w:rsidP="002A1EFB">
      <w:pPr>
        <w:jc w:val="both"/>
        <w:rPr>
          <w:rFonts w:ascii="Times New Roman" w:hAnsi="Times New Roman" w:cs="Times New Roman"/>
          <w:b/>
          <w:bCs/>
          <w:u w:val="single"/>
        </w:rPr>
      </w:pPr>
      <w:r w:rsidRPr="005435B9">
        <w:rPr>
          <w:rFonts w:ascii="Times New Roman" w:hAnsi="Times New Roman" w:cs="Times New Roman"/>
          <w:b/>
          <w:bCs/>
          <w:u w:val="single"/>
        </w:rPr>
        <w:t xml:space="preserve">II. </w:t>
      </w:r>
      <w:r w:rsidR="00930B86">
        <w:rPr>
          <w:rFonts w:ascii="Times New Roman" w:hAnsi="Times New Roman" w:cs="Times New Roman"/>
          <w:b/>
          <w:bCs/>
          <w:u w:val="single"/>
        </w:rPr>
        <w:t>R</w:t>
      </w:r>
      <w:r w:rsidRPr="005435B9">
        <w:rPr>
          <w:rFonts w:ascii="Times New Roman" w:hAnsi="Times New Roman" w:cs="Times New Roman"/>
          <w:b/>
          <w:bCs/>
          <w:u w:val="single"/>
        </w:rPr>
        <w:t>éflexions postérieures à la QPC</w:t>
      </w:r>
      <w:r w:rsidR="001268EF">
        <w:rPr>
          <w:rFonts w:ascii="Times New Roman" w:hAnsi="Times New Roman" w:cs="Times New Roman"/>
          <w:b/>
          <w:bCs/>
          <w:u w:val="single"/>
        </w:rPr>
        <w:t xml:space="preserve"> du 12 mars 2021</w:t>
      </w:r>
    </w:p>
    <w:p w14:paraId="573AE08B" w14:textId="2307B046" w:rsidR="001268EF" w:rsidRPr="001268EF" w:rsidRDefault="001268EF" w:rsidP="002A1EFB">
      <w:pPr>
        <w:jc w:val="both"/>
        <w:rPr>
          <w:rFonts w:ascii="Times New Roman" w:hAnsi="Times New Roman" w:cs="Times New Roman"/>
        </w:rPr>
      </w:pPr>
      <w:r w:rsidRPr="001268EF">
        <w:rPr>
          <w:rFonts w:ascii="Times New Roman" w:hAnsi="Times New Roman" w:cs="Times New Roman"/>
        </w:rPr>
        <w:t xml:space="preserve">Cette décision du Conseil constitutionnel invite tout d’abord à repenser la vulnérabilité (A) ainsi qu’à s’efforcer de valoriser le travail des aidants et des soignants (B). </w:t>
      </w:r>
    </w:p>
    <w:p w14:paraId="17C09B28" w14:textId="10FCE58A" w:rsidR="005435B9" w:rsidRDefault="005435B9" w:rsidP="002A1EFB">
      <w:pPr>
        <w:jc w:val="both"/>
        <w:rPr>
          <w:rFonts w:ascii="Times New Roman" w:hAnsi="Times New Roman" w:cs="Times New Roman"/>
          <w:b/>
          <w:bCs/>
          <w:u w:val="single"/>
        </w:rPr>
      </w:pPr>
      <w:r>
        <w:rPr>
          <w:rFonts w:ascii="Times New Roman" w:hAnsi="Times New Roman" w:cs="Times New Roman"/>
          <w:b/>
          <w:bCs/>
          <w:u w:val="single"/>
        </w:rPr>
        <w:t xml:space="preserve">A. Individualiser la vulnérabilité </w:t>
      </w:r>
    </w:p>
    <w:p w14:paraId="5726E28F" w14:textId="09CE7ABE" w:rsidR="00CE3AB6" w:rsidRDefault="005435B9" w:rsidP="005435B9">
      <w:pPr>
        <w:jc w:val="both"/>
        <w:rPr>
          <w:rFonts w:ascii="Times New Roman" w:hAnsi="Times New Roman" w:cs="Times New Roman"/>
        </w:rPr>
      </w:pPr>
      <w:r>
        <w:rPr>
          <w:rFonts w:ascii="Times New Roman" w:hAnsi="Times New Roman" w:cs="Times New Roman"/>
        </w:rPr>
        <w:t xml:space="preserve">Cette interdiction absolue, qui ne souffre d’aucune variation selon l’état (physique et mental) </w:t>
      </w:r>
      <w:r w:rsidRPr="004D643F">
        <w:rPr>
          <w:rFonts w:ascii="Times New Roman" w:hAnsi="Times New Roman" w:cs="Times New Roman"/>
          <w:i/>
          <w:iCs/>
        </w:rPr>
        <w:t xml:space="preserve">in </w:t>
      </w:r>
      <w:proofErr w:type="spellStart"/>
      <w:r w:rsidRPr="004D643F">
        <w:rPr>
          <w:rFonts w:ascii="Times New Roman" w:hAnsi="Times New Roman" w:cs="Times New Roman"/>
          <w:i/>
          <w:iCs/>
        </w:rPr>
        <w:t>concreto</w:t>
      </w:r>
      <w:proofErr w:type="spellEnd"/>
      <w:r>
        <w:rPr>
          <w:rFonts w:ascii="Times New Roman" w:hAnsi="Times New Roman" w:cs="Times New Roman"/>
        </w:rPr>
        <w:t xml:space="preserve"> de la personne dépendante est en ce sens disproportionnée face au but poursuivi qui est la protection des personnes vulnérables et ne justifie donc pas une atteinte absolue au droit de disposer, qui relève du droit de propriété. Cette disproportion est telle qu’elle justifie, pour le Conseil constitutionnel, une abrogation immédiate d</w:t>
      </w:r>
      <w:r w:rsidR="00AA0FF7">
        <w:rPr>
          <w:rFonts w:ascii="Times New Roman" w:hAnsi="Times New Roman" w:cs="Times New Roman"/>
        </w:rPr>
        <w:t>u paragraphe 1 de</w:t>
      </w:r>
      <w:r>
        <w:rPr>
          <w:rFonts w:ascii="Times New Roman" w:hAnsi="Times New Roman" w:cs="Times New Roman"/>
        </w:rPr>
        <w:t xml:space="preserve"> l’article </w:t>
      </w:r>
      <w:r w:rsidR="00AA0FF7" w:rsidRPr="00AA0FF7">
        <w:rPr>
          <w:rFonts w:ascii="Times New Roman" w:hAnsi="Times New Roman" w:cs="Times New Roman"/>
        </w:rPr>
        <w:t>L. 116-4 du code de l'action sociale et des familles</w:t>
      </w:r>
      <w:r w:rsidR="00AA0FF7">
        <w:rPr>
          <w:rFonts w:ascii="Times New Roman" w:hAnsi="Times New Roman" w:cs="Times New Roman"/>
        </w:rPr>
        <w:t>, fixée</w:t>
      </w:r>
      <w:r w:rsidRPr="004D643F">
        <w:rPr>
          <w:rFonts w:ascii="Times New Roman" w:hAnsi="Times New Roman" w:cs="Times New Roman"/>
          <w:color w:val="FF0000"/>
        </w:rPr>
        <w:t xml:space="preserve"> </w:t>
      </w:r>
      <w:r>
        <w:rPr>
          <w:rFonts w:ascii="Times New Roman" w:hAnsi="Times New Roman" w:cs="Times New Roman"/>
        </w:rPr>
        <w:t>au 13 mars 2021</w:t>
      </w:r>
      <w:r w:rsidR="00AA0FF7">
        <w:rPr>
          <w:rFonts w:ascii="Times New Roman" w:hAnsi="Times New Roman" w:cs="Times New Roman"/>
        </w:rPr>
        <w:t>, lendemain de la décision</w:t>
      </w:r>
      <w:r>
        <w:rPr>
          <w:rFonts w:ascii="Times New Roman" w:hAnsi="Times New Roman" w:cs="Times New Roman"/>
        </w:rPr>
        <w:t xml:space="preserve">. </w:t>
      </w:r>
    </w:p>
    <w:p w14:paraId="2E44010C" w14:textId="7C5D6262" w:rsidR="00EC559A" w:rsidRDefault="00EC559A" w:rsidP="005435B9">
      <w:pPr>
        <w:jc w:val="both"/>
        <w:rPr>
          <w:rFonts w:ascii="Times New Roman" w:hAnsi="Times New Roman" w:cs="Times New Roman"/>
        </w:rPr>
      </w:pPr>
      <w:r>
        <w:rPr>
          <w:rFonts w:ascii="Times New Roman" w:hAnsi="Times New Roman" w:cs="Times New Roman"/>
        </w:rPr>
        <w:t xml:space="preserve">D’aucuns pensaient que le législateur interviendrait pour reprendre l’écriture de l’article L.116-4 du CASF avec la loi Grand Age et autonomie, annoncée pour la fin de l’année 2021. Mais il semblerait qu’elle ne soit plus l’objectif premier du législateur, </w:t>
      </w:r>
      <w:r w:rsidR="00CE3AB6">
        <w:rPr>
          <w:rFonts w:ascii="Times New Roman" w:hAnsi="Times New Roman" w:cs="Times New Roman"/>
        </w:rPr>
        <w:t>qui y a renoncé.</w:t>
      </w:r>
    </w:p>
    <w:p w14:paraId="259432F4" w14:textId="30ABCE7A" w:rsidR="00CE3AB6" w:rsidRDefault="00CE3AB6" w:rsidP="005435B9">
      <w:pPr>
        <w:jc w:val="both"/>
        <w:rPr>
          <w:rFonts w:ascii="Times New Roman" w:hAnsi="Times New Roman" w:cs="Times New Roman"/>
        </w:rPr>
      </w:pPr>
      <w:r>
        <w:rPr>
          <w:rFonts w:ascii="Times New Roman" w:hAnsi="Times New Roman" w:cs="Times New Roman"/>
        </w:rPr>
        <w:t>Si le projet législatif est à l’abandon, cela n’empêche pas de réfléchir aux attentes constitutionnelles pour que la prochaine disposition ne soit pas frappée d’inconstitutionnalité</w:t>
      </w:r>
      <w:r>
        <w:rPr>
          <w:rStyle w:val="Appelnotedebasdep"/>
          <w:rFonts w:ascii="Times New Roman" w:hAnsi="Times New Roman" w:cs="Times New Roman"/>
        </w:rPr>
        <w:footnoteReference w:id="14"/>
      </w:r>
      <w:r>
        <w:rPr>
          <w:rFonts w:ascii="Times New Roman" w:hAnsi="Times New Roman" w:cs="Times New Roman"/>
        </w:rPr>
        <w:t xml:space="preserve">. </w:t>
      </w:r>
    </w:p>
    <w:p w14:paraId="08FA3E93" w14:textId="01ABA1C6" w:rsidR="00CE3AB6" w:rsidRDefault="00CE3AB6" w:rsidP="005435B9">
      <w:pPr>
        <w:jc w:val="both"/>
        <w:rPr>
          <w:rFonts w:ascii="Times New Roman" w:hAnsi="Times New Roman" w:cs="Times New Roman"/>
        </w:rPr>
      </w:pPr>
      <w:r>
        <w:rPr>
          <w:rFonts w:ascii="Times New Roman" w:hAnsi="Times New Roman" w:cs="Times New Roman"/>
        </w:rPr>
        <w:t>Il a été proposé de recourir à une double technique afin de prendre en compte les remarques du Conseil constitutionnel et ainsi mieux individualiser la vulnérabilité. A la vulnérabilité par nature</w:t>
      </w:r>
      <w:r w:rsidR="00AE031B">
        <w:rPr>
          <w:rFonts w:ascii="Times New Roman" w:hAnsi="Times New Roman" w:cs="Times New Roman"/>
        </w:rPr>
        <w:t>, c’est-à-dire la vulnérabilité issue du seul fait de l’impossibilité pour la personne d’être complétement autonome et indépendant, une règle de fond pourrait être appliquée comme suit : par principe, la personne est considérée comme vulnérable du fait de sa dépendance avec le personnel soignant ou aidant ; par exception, elle pourrait ne pas l’être lorsque le service rendu</w:t>
      </w:r>
      <w:r w:rsidR="00A249BB">
        <w:rPr>
          <w:rFonts w:ascii="Times New Roman" w:hAnsi="Times New Roman" w:cs="Times New Roman"/>
        </w:rPr>
        <w:t xml:space="preserve">, ou la durée de celui-ci, </w:t>
      </w:r>
      <w:r w:rsidR="00AE031B">
        <w:rPr>
          <w:rFonts w:ascii="Times New Roman" w:hAnsi="Times New Roman" w:cs="Times New Roman"/>
        </w:rPr>
        <w:t>n’influe pas sur la situation de la personne</w:t>
      </w:r>
      <w:r w:rsidR="00EA708B">
        <w:rPr>
          <w:rFonts w:ascii="Times New Roman" w:hAnsi="Times New Roman" w:cs="Times New Roman"/>
        </w:rPr>
        <w:t xml:space="preserve">. Concernant la vulnérabilité d’exercice, à savoir le fait de ne pouvoir donner en raison d’une incapacité, celle-ci pourrait être seulement présumée, ce qui permettrait </w:t>
      </w:r>
      <w:r w:rsidR="00421727">
        <w:rPr>
          <w:rFonts w:ascii="Times New Roman" w:hAnsi="Times New Roman" w:cs="Times New Roman"/>
        </w:rPr>
        <w:t xml:space="preserve">dans certains cas de renverser la présomption et de démontrer </w:t>
      </w:r>
      <w:proofErr w:type="gramStart"/>
      <w:r w:rsidR="00421727" w:rsidRPr="00EC5BB8">
        <w:rPr>
          <w:rFonts w:ascii="Times New Roman" w:hAnsi="Times New Roman" w:cs="Times New Roman"/>
          <w:i/>
          <w:iCs/>
        </w:rPr>
        <w:t>a</w:t>
      </w:r>
      <w:proofErr w:type="gramEnd"/>
      <w:r w:rsidR="00421727" w:rsidRPr="00EC5BB8">
        <w:rPr>
          <w:rFonts w:ascii="Times New Roman" w:hAnsi="Times New Roman" w:cs="Times New Roman"/>
          <w:i/>
          <w:iCs/>
        </w:rPr>
        <w:t xml:space="preserve"> contrario</w:t>
      </w:r>
      <w:r w:rsidR="00421727">
        <w:rPr>
          <w:rFonts w:ascii="Times New Roman" w:hAnsi="Times New Roman" w:cs="Times New Roman"/>
        </w:rPr>
        <w:t xml:space="preserve"> la capacité à disposer, tout en participant à un objectif de protection de la personne vulnérable</w:t>
      </w:r>
      <w:r w:rsidR="00EC5BB8">
        <w:rPr>
          <w:rStyle w:val="Appelnotedebasdep"/>
          <w:rFonts w:ascii="Times New Roman" w:hAnsi="Times New Roman" w:cs="Times New Roman"/>
        </w:rPr>
        <w:footnoteReference w:id="15"/>
      </w:r>
      <w:r w:rsidR="00421727">
        <w:rPr>
          <w:rFonts w:ascii="Times New Roman" w:hAnsi="Times New Roman" w:cs="Times New Roman"/>
        </w:rPr>
        <w:t xml:space="preserve">. </w:t>
      </w:r>
    </w:p>
    <w:p w14:paraId="3E4984EF" w14:textId="34AA587D" w:rsidR="006C1636" w:rsidRDefault="003C4CA1" w:rsidP="005435B9">
      <w:pPr>
        <w:jc w:val="both"/>
        <w:rPr>
          <w:rFonts w:ascii="Times New Roman" w:hAnsi="Times New Roman" w:cs="Times New Roman"/>
        </w:rPr>
      </w:pPr>
      <w:r>
        <w:rPr>
          <w:rFonts w:ascii="Times New Roman" w:hAnsi="Times New Roman" w:cs="Times New Roman"/>
        </w:rPr>
        <w:t xml:space="preserve">Outre l’individualisation de la personne vulnérable, cette décision met au cœur de la réflexion la </w:t>
      </w:r>
      <w:r w:rsidR="00E45EB6">
        <w:rPr>
          <w:rFonts w:ascii="Times New Roman" w:hAnsi="Times New Roman" w:cs="Times New Roman"/>
        </w:rPr>
        <w:t xml:space="preserve">question de la </w:t>
      </w:r>
      <w:r>
        <w:rPr>
          <w:rFonts w:ascii="Times New Roman" w:hAnsi="Times New Roman" w:cs="Times New Roman"/>
        </w:rPr>
        <w:t xml:space="preserve">valorisation des aidants. </w:t>
      </w:r>
      <w:r w:rsidR="00E45EB6">
        <w:rPr>
          <w:rFonts w:ascii="Times New Roman" w:hAnsi="Times New Roman" w:cs="Times New Roman"/>
        </w:rPr>
        <w:t>Un point d’indice supplémentaire sur une fiche de paie n’est parfois pas la réponse adé</w:t>
      </w:r>
      <w:r w:rsidR="00B671F0">
        <w:rPr>
          <w:rFonts w:ascii="Times New Roman" w:hAnsi="Times New Roman" w:cs="Times New Roman"/>
        </w:rPr>
        <w:t>quate</w:t>
      </w:r>
      <w:r w:rsidR="00DB3835">
        <w:rPr>
          <w:rFonts w:ascii="Times New Roman" w:hAnsi="Times New Roman" w:cs="Times New Roman"/>
        </w:rPr>
        <w:t xml:space="preserve"> comparé </w:t>
      </w:r>
      <w:r w:rsidR="00E06E46">
        <w:rPr>
          <w:rFonts w:ascii="Times New Roman" w:hAnsi="Times New Roman" w:cs="Times New Roman"/>
        </w:rPr>
        <w:t>un geste d’affection matériel</w:t>
      </w:r>
      <w:r w:rsidR="006C1636">
        <w:rPr>
          <w:rFonts w:ascii="Times New Roman" w:hAnsi="Times New Roman" w:cs="Times New Roman"/>
        </w:rPr>
        <w:t xml:space="preserve">, si celui-ci ne met pas en danger le patrimoine de la personne vulnérable. </w:t>
      </w:r>
    </w:p>
    <w:p w14:paraId="19587DB0" w14:textId="77777777" w:rsidR="005435B9" w:rsidRPr="005435B9" w:rsidRDefault="005435B9" w:rsidP="002A1EFB">
      <w:pPr>
        <w:jc w:val="both"/>
        <w:rPr>
          <w:rFonts w:ascii="Times New Roman" w:hAnsi="Times New Roman" w:cs="Times New Roman"/>
          <w:b/>
          <w:bCs/>
          <w:u w:val="single"/>
        </w:rPr>
      </w:pPr>
    </w:p>
    <w:p w14:paraId="7F5986B2" w14:textId="0EFD4733" w:rsidR="005435B9" w:rsidRPr="005435B9" w:rsidRDefault="005435B9" w:rsidP="005435B9">
      <w:pPr>
        <w:spacing w:after="0"/>
        <w:jc w:val="both"/>
        <w:rPr>
          <w:rFonts w:ascii="Times New Roman" w:hAnsi="Times New Roman" w:cs="Times New Roman"/>
          <w:b/>
          <w:bCs/>
          <w:u w:val="single"/>
        </w:rPr>
      </w:pPr>
      <w:r w:rsidRPr="005435B9">
        <w:rPr>
          <w:rFonts w:ascii="Times New Roman" w:hAnsi="Times New Roman" w:cs="Times New Roman"/>
          <w:b/>
          <w:bCs/>
          <w:u w:val="single"/>
        </w:rPr>
        <w:t xml:space="preserve">B. Valoriser les aidants </w:t>
      </w:r>
    </w:p>
    <w:p w14:paraId="4AD20D6D" w14:textId="77777777" w:rsidR="005435B9" w:rsidRDefault="005435B9" w:rsidP="005435B9">
      <w:pPr>
        <w:spacing w:after="0"/>
        <w:jc w:val="both"/>
        <w:rPr>
          <w:rFonts w:ascii="Times New Roman" w:hAnsi="Times New Roman" w:cs="Times New Roman"/>
        </w:rPr>
      </w:pPr>
    </w:p>
    <w:p w14:paraId="08A4643D" w14:textId="269234FB" w:rsidR="005435B9" w:rsidRDefault="006C1636" w:rsidP="005435B9">
      <w:pPr>
        <w:spacing w:after="0"/>
        <w:jc w:val="both"/>
        <w:rPr>
          <w:rFonts w:ascii="Times New Roman" w:hAnsi="Times New Roman" w:cs="Times New Roman"/>
        </w:rPr>
      </w:pPr>
      <w:r>
        <w:rPr>
          <w:rFonts w:ascii="Times New Roman" w:hAnsi="Times New Roman" w:cs="Times New Roman"/>
        </w:rPr>
        <w:t>L</w:t>
      </w:r>
      <w:r w:rsidR="005435B9">
        <w:rPr>
          <w:rFonts w:ascii="Times New Roman" w:hAnsi="Times New Roman" w:cs="Times New Roman"/>
        </w:rPr>
        <w:t>a pandémie de</w:t>
      </w:r>
      <w:r>
        <w:rPr>
          <w:rFonts w:ascii="Times New Roman" w:hAnsi="Times New Roman" w:cs="Times New Roman"/>
        </w:rPr>
        <w:t xml:space="preserve"> la</w:t>
      </w:r>
      <w:r w:rsidR="005435B9">
        <w:rPr>
          <w:rFonts w:ascii="Times New Roman" w:hAnsi="Times New Roman" w:cs="Times New Roman"/>
        </w:rPr>
        <w:t xml:space="preserve"> Covid-19 a eu de nombreux inconvénients dont leur énumération n’a pas sa place ici, mais au moins un avantage, et non des moindres, celui de rendre visible la situation des soignants et personnes aidant les personnes vulnérables et/ou âgées en situation de dépendance. </w:t>
      </w:r>
    </w:p>
    <w:p w14:paraId="25A63A06" w14:textId="77777777" w:rsidR="005435B9" w:rsidRDefault="005435B9" w:rsidP="005435B9">
      <w:pPr>
        <w:spacing w:after="0"/>
        <w:jc w:val="both"/>
        <w:rPr>
          <w:rFonts w:ascii="Times New Roman" w:hAnsi="Times New Roman" w:cs="Times New Roman"/>
        </w:rPr>
      </w:pPr>
      <w:r>
        <w:rPr>
          <w:rFonts w:ascii="Times New Roman" w:hAnsi="Times New Roman" w:cs="Times New Roman"/>
        </w:rPr>
        <w:lastRenderedPageBreak/>
        <w:t>L’omerta</w:t>
      </w:r>
      <w:r>
        <w:rPr>
          <w:rStyle w:val="Appelnotedebasdep"/>
          <w:rFonts w:ascii="Times New Roman" w:hAnsi="Times New Roman" w:cs="Times New Roman"/>
        </w:rPr>
        <w:footnoteReference w:id="16"/>
      </w:r>
      <w:r>
        <w:rPr>
          <w:rFonts w:ascii="Times New Roman" w:hAnsi="Times New Roman" w:cs="Times New Roman"/>
        </w:rPr>
        <w:t xml:space="preserve"> dans les métiers médicaux et du social a ainsi commencé à se briser grâce à cette mise en exergue au plus fort de la crise pandémique de 2020. Les personnels agissant pour les personnes âgées, ou non, en situation de dépendance sont oubliées, reléguées au second plan, « la faute, sans doute, en partie, au poids des valeurs associées au social (égalité, justice, altruisme, etc.), à ses contradictions, ses pressions à la responsabilité, à une idéologie sacrificielle des métiers du social – et, pour grande partie, aux modes organisationnels institutionnels ». </w:t>
      </w:r>
      <w:r>
        <w:rPr>
          <w:rStyle w:val="Appelnotedebasdep"/>
          <w:rFonts w:ascii="Times New Roman" w:hAnsi="Times New Roman" w:cs="Times New Roman"/>
        </w:rPr>
        <w:footnoteReference w:id="17"/>
      </w:r>
    </w:p>
    <w:p w14:paraId="750CC50E" w14:textId="77777777" w:rsidR="005435B9" w:rsidRPr="00EC5BB8" w:rsidRDefault="005435B9" w:rsidP="005435B9">
      <w:pPr>
        <w:spacing w:after="0"/>
        <w:jc w:val="both"/>
        <w:rPr>
          <w:rFonts w:ascii="Times New Roman" w:hAnsi="Times New Roman" w:cs="Times New Roman"/>
          <w:u w:val="single"/>
        </w:rPr>
      </w:pPr>
    </w:p>
    <w:p w14:paraId="05F091DE" w14:textId="6853C4CC" w:rsidR="005435B9" w:rsidRDefault="006C1636" w:rsidP="005435B9">
      <w:pPr>
        <w:spacing w:after="0"/>
        <w:jc w:val="both"/>
        <w:rPr>
          <w:rFonts w:ascii="Times New Roman" w:hAnsi="Times New Roman" w:cs="Times New Roman"/>
        </w:rPr>
      </w:pPr>
      <w:r>
        <w:rPr>
          <w:rFonts w:ascii="Times New Roman" w:hAnsi="Times New Roman" w:cs="Times New Roman"/>
        </w:rPr>
        <w:t>L’</w:t>
      </w:r>
      <w:r w:rsidR="005435B9">
        <w:rPr>
          <w:rFonts w:ascii="Times New Roman" w:hAnsi="Times New Roman" w:cs="Times New Roman"/>
        </w:rPr>
        <w:t>approche</w:t>
      </w:r>
      <w:r>
        <w:rPr>
          <w:rFonts w:ascii="Times New Roman" w:hAnsi="Times New Roman" w:cs="Times New Roman"/>
        </w:rPr>
        <w:t xml:space="preserve"> </w:t>
      </w:r>
      <w:r w:rsidR="005435B9">
        <w:rPr>
          <w:rFonts w:ascii="Times New Roman" w:hAnsi="Times New Roman" w:cs="Times New Roman"/>
        </w:rPr>
        <w:t xml:space="preserve">très (trop ?) </w:t>
      </w:r>
      <w:r>
        <w:rPr>
          <w:rFonts w:ascii="Times New Roman" w:hAnsi="Times New Roman" w:cs="Times New Roman"/>
        </w:rPr>
        <w:t xml:space="preserve">protectrice du législateur </w:t>
      </w:r>
      <w:r w:rsidR="005435B9">
        <w:rPr>
          <w:rFonts w:ascii="Times New Roman" w:hAnsi="Times New Roman" w:cs="Times New Roman"/>
        </w:rPr>
        <w:t xml:space="preserve">a le désavantage de nier tout l’effort que peuvent fournir le personnel soignant qui travaillent au bien-être de ces personnes vulnérables. Que ce soit à domicile, en concourant au maintien le plus longtemps possible de l’autonomie de la personne âgée et/ou dépendante, ou en structure dans des EPHAD par exemple, en veillant à valoriser l’activité </w:t>
      </w:r>
      <w:proofErr w:type="gramStart"/>
      <w:r w:rsidR="005435B9">
        <w:rPr>
          <w:rFonts w:ascii="Times New Roman" w:hAnsi="Times New Roman" w:cs="Times New Roman"/>
        </w:rPr>
        <w:t>physique</w:t>
      </w:r>
      <w:proofErr w:type="gramEnd"/>
      <w:r w:rsidR="005435B9">
        <w:rPr>
          <w:rFonts w:ascii="Times New Roman" w:hAnsi="Times New Roman" w:cs="Times New Roman"/>
        </w:rPr>
        <w:t xml:space="preserve"> et intellectuelle du résident par des ateliers, animations, soins propices à son bien-être, ces travailleurs de l’humain vont bien au-delà de leur propre mission de soignant ou d’aide : ils sont les garants de notre humanité, car une société qui délaisse ses aïeux est une société qui se meurt. </w:t>
      </w:r>
    </w:p>
    <w:p w14:paraId="70B1ADF5" w14:textId="77777777" w:rsidR="006C1636" w:rsidRDefault="006C1636" w:rsidP="005435B9">
      <w:pPr>
        <w:spacing w:after="0"/>
        <w:jc w:val="both"/>
        <w:rPr>
          <w:rFonts w:ascii="Times New Roman" w:hAnsi="Times New Roman" w:cs="Times New Roman"/>
        </w:rPr>
      </w:pPr>
    </w:p>
    <w:p w14:paraId="3C82AA4C" w14:textId="77777777" w:rsidR="006C1636" w:rsidRDefault="005435B9" w:rsidP="005435B9">
      <w:pPr>
        <w:spacing w:after="0"/>
        <w:jc w:val="both"/>
        <w:rPr>
          <w:rFonts w:ascii="Times New Roman" w:hAnsi="Times New Roman" w:cs="Times New Roman"/>
        </w:rPr>
      </w:pPr>
      <w:r>
        <w:rPr>
          <w:rFonts w:ascii="Times New Roman" w:hAnsi="Times New Roman" w:cs="Times New Roman"/>
        </w:rPr>
        <w:t>Rappelons par ailleurs que le travail, quel qu’il soit, n’est pas par essence mauvais. Bien au contraire. Le Pape François nous invite à reprendre la Genèse et à garder en tête que « </w:t>
      </w:r>
      <w:r w:rsidRPr="00970D12">
        <w:rPr>
          <w:rFonts w:ascii="Times New Roman" w:hAnsi="Times New Roman" w:cs="Times New Roman"/>
        </w:rPr>
        <w:t xml:space="preserve">Dieu a placé l’être humain dans le jardin à peine créé (cf. </w:t>
      </w:r>
      <w:proofErr w:type="spellStart"/>
      <w:r w:rsidRPr="00970D12">
        <w:rPr>
          <w:rFonts w:ascii="Times New Roman" w:hAnsi="Times New Roman" w:cs="Times New Roman"/>
        </w:rPr>
        <w:t>Gn</w:t>
      </w:r>
      <w:proofErr w:type="spellEnd"/>
      <w:r w:rsidRPr="00970D12">
        <w:rPr>
          <w:rFonts w:ascii="Times New Roman" w:hAnsi="Times New Roman" w:cs="Times New Roman"/>
        </w:rPr>
        <w:t xml:space="preserve"> 2, 15) non seulement pour préserver ce qui existe (protéger) mais aussi pour le travailler de manière </w:t>
      </w:r>
      <w:r>
        <w:rPr>
          <w:rFonts w:ascii="Times New Roman" w:hAnsi="Times New Roman" w:cs="Times New Roman"/>
        </w:rPr>
        <w:t xml:space="preserve">à ce </w:t>
      </w:r>
      <w:r w:rsidRPr="00970D12">
        <w:rPr>
          <w:rFonts w:ascii="Times New Roman" w:hAnsi="Times New Roman" w:cs="Times New Roman"/>
        </w:rPr>
        <w:t>qu’il porte du fruit (labourer)</w:t>
      </w:r>
      <w:r>
        <w:rPr>
          <w:rFonts w:ascii="Times New Roman" w:hAnsi="Times New Roman" w:cs="Times New Roman"/>
        </w:rPr>
        <w:t> »</w:t>
      </w:r>
      <w:r>
        <w:rPr>
          <w:rStyle w:val="Appelnotedebasdep"/>
          <w:rFonts w:ascii="Times New Roman" w:hAnsi="Times New Roman" w:cs="Times New Roman"/>
        </w:rPr>
        <w:footnoteReference w:id="18"/>
      </w:r>
      <w:r>
        <w:rPr>
          <w:rFonts w:ascii="Times New Roman" w:hAnsi="Times New Roman" w:cs="Times New Roman"/>
        </w:rPr>
        <w:t>. Or, en participant à maintenir l’activité individuelle des personnes placées en situation de dépendance du fait de leur grand âge ou de vulnérabilités particulières, les personnels soignants et aide à domicile participent à cette notion de protection et de labeur</w:t>
      </w:r>
      <w:r w:rsidR="006C1636">
        <w:rPr>
          <w:rFonts w:ascii="Times New Roman" w:hAnsi="Times New Roman" w:cs="Times New Roman"/>
        </w:rPr>
        <w:t xml:space="preserve">, en entretenant dignement des vies humaines. </w:t>
      </w:r>
    </w:p>
    <w:p w14:paraId="5B223B50" w14:textId="77777777" w:rsidR="006C1636" w:rsidRDefault="006C1636" w:rsidP="005435B9">
      <w:pPr>
        <w:spacing w:after="0"/>
        <w:jc w:val="both"/>
        <w:rPr>
          <w:rFonts w:ascii="Times New Roman" w:hAnsi="Times New Roman" w:cs="Times New Roman"/>
        </w:rPr>
      </w:pPr>
    </w:p>
    <w:p w14:paraId="791894C9" w14:textId="2D1A476A" w:rsidR="005435B9" w:rsidRDefault="006C1636" w:rsidP="005435B9">
      <w:pPr>
        <w:spacing w:after="0"/>
        <w:jc w:val="both"/>
        <w:rPr>
          <w:rFonts w:ascii="Times New Roman" w:hAnsi="Times New Roman" w:cs="Times New Roman"/>
        </w:rPr>
      </w:pPr>
      <w:r>
        <w:rPr>
          <w:rFonts w:ascii="Times New Roman" w:hAnsi="Times New Roman" w:cs="Times New Roman"/>
        </w:rPr>
        <w:t xml:space="preserve">Le grand défi dorénavant du législateur est d’arriver à </w:t>
      </w:r>
      <w:r w:rsidR="00C355DB">
        <w:rPr>
          <w:rFonts w:ascii="Times New Roman" w:hAnsi="Times New Roman" w:cs="Times New Roman"/>
        </w:rPr>
        <w:t>proposer</w:t>
      </w:r>
      <w:r>
        <w:rPr>
          <w:rFonts w:ascii="Times New Roman" w:hAnsi="Times New Roman" w:cs="Times New Roman"/>
        </w:rPr>
        <w:t xml:space="preserve"> une protection du patrimoine de la personne vulnérable sur-mesure, en prenant en considération l’entourage de cette dernière, qui n’est parfois plus la famille comme cela l’était par exemple dans les années 1950, mais les soignants et aidants, </w:t>
      </w:r>
      <w:r w:rsidR="00C355DB">
        <w:rPr>
          <w:rFonts w:ascii="Times New Roman" w:hAnsi="Times New Roman" w:cs="Times New Roman"/>
        </w:rPr>
        <w:t xml:space="preserve">ces tiers qui méritent parfois une valorisation autre qu’un salaire, par le biais d’une donation, marque d’affection et de remerciement lorsqu’elle est librement consentie et non excessive. </w:t>
      </w:r>
    </w:p>
    <w:p w14:paraId="3F10EA7E" w14:textId="77777777" w:rsidR="005435B9" w:rsidRDefault="005435B9" w:rsidP="005435B9">
      <w:pPr>
        <w:spacing w:after="0"/>
        <w:jc w:val="both"/>
        <w:rPr>
          <w:rFonts w:ascii="Times New Roman" w:hAnsi="Times New Roman" w:cs="Times New Roman"/>
        </w:rPr>
      </w:pPr>
    </w:p>
    <w:p w14:paraId="42952585" w14:textId="6585C24D" w:rsidR="00421727" w:rsidRPr="00421727" w:rsidRDefault="00421727" w:rsidP="005435B9">
      <w:pPr>
        <w:pStyle w:val="ccommunalinea"/>
        <w:shd w:val="clear" w:color="auto" w:fill="FFFFFF"/>
        <w:spacing w:before="150" w:beforeAutospacing="0" w:after="150" w:afterAutospacing="0" w:line="360" w:lineRule="atLeast"/>
        <w:jc w:val="both"/>
        <w:rPr>
          <w:color w:val="1E1E1E"/>
          <w:sz w:val="22"/>
          <w:szCs w:val="22"/>
        </w:rPr>
      </w:pPr>
    </w:p>
    <w:p w14:paraId="6E95ECA5" w14:textId="77777777" w:rsidR="005435B9" w:rsidRDefault="005435B9" w:rsidP="002A1EFB">
      <w:pPr>
        <w:jc w:val="both"/>
        <w:rPr>
          <w:rFonts w:ascii="Times New Roman" w:hAnsi="Times New Roman" w:cs="Times New Roman"/>
        </w:rPr>
      </w:pPr>
    </w:p>
    <w:p w14:paraId="690FFC89" w14:textId="77777777" w:rsidR="00C06FB2" w:rsidRDefault="00C06FB2" w:rsidP="00033771">
      <w:pPr>
        <w:pStyle w:val="ccommunalinea"/>
        <w:shd w:val="clear" w:color="auto" w:fill="FFFFFF"/>
        <w:spacing w:before="150" w:beforeAutospacing="0" w:after="150" w:afterAutospacing="0" w:line="360" w:lineRule="atLeast"/>
        <w:jc w:val="both"/>
        <w:rPr>
          <w:rFonts w:ascii="Arial" w:hAnsi="Arial" w:cs="Arial"/>
          <w:color w:val="1E1E1E"/>
          <w:sz w:val="27"/>
          <w:szCs w:val="27"/>
        </w:rPr>
      </w:pPr>
    </w:p>
    <w:p w14:paraId="00BFEA53" w14:textId="77777777" w:rsidR="004D643F" w:rsidRDefault="004D643F" w:rsidP="00033771">
      <w:pPr>
        <w:pBdr>
          <w:bottom w:val="single" w:sz="4" w:space="1" w:color="auto"/>
        </w:pBdr>
        <w:jc w:val="both"/>
        <w:rPr>
          <w:rFonts w:ascii="Times New Roman" w:hAnsi="Times New Roman" w:cs="Times New Roman"/>
        </w:rPr>
      </w:pPr>
    </w:p>
    <w:p w14:paraId="3706B8CB" w14:textId="77777777" w:rsidR="001268EF" w:rsidRDefault="001268EF" w:rsidP="001268EF">
      <w:pPr>
        <w:jc w:val="both"/>
        <w:rPr>
          <w:rFonts w:ascii="Times New Roman" w:hAnsi="Times New Roman" w:cs="Times New Roman"/>
        </w:rPr>
      </w:pPr>
      <w:r w:rsidRPr="002D37F6">
        <w:rPr>
          <w:rFonts w:ascii="Times New Roman" w:hAnsi="Times New Roman" w:cs="Times New Roman"/>
        </w:rPr>
        <w:t>Les parents priment ainsi sur les soignants ou auxiliaires de vie alors même que ce sont souvent davantage les professionnels précités qui accompagnent les personnes vulnérables.</w:t>
      </w:r>
      <w:r>
        <w:rPr>
          <w:rFonts w:ascii="Times New Roman" w:hAnsi="Times New Roman" w:cs="Times New Roman"/>
        </w:rPr>
        <w:t xml:space="preserve"> </w:t>
      </w:r>
    </w:p>
    <w:p w14:paraId="3B72092A" w14:textId="577BEE38" w:rsidR="0028228B" w:rsidRPr="00BB15EA" w:rsidRDefault="00C355DB" w:rsidP="00BB15EA">
      <w:pPr>
        <w:jc w:val="both"/>
        <w:rPr>
          <w:rFonts w:ascii="Times New Roman" w:hAnsi="Times New Roman" w:cs="Times New Roman"/>
        </w:rPr>
      </w:pPr>
      <w:r w:rsidRPr="00421727">
        <w:rPr>
          <w:color w:val="1E1E1E"/>
        </w:rPr>
        <w:t>Pour conclure, « le grand âge ne saurait signifier automatiquement l’inaptitude à consentir »</w:t>
      </w:r>
      <w:r w:rsidRPr="00421727">
        <w:rPr>
          <w:rStyle w:val="Appelnotedebasdep"/>
          <w:color w:val="1E1E1E"/>
        </w:rPr>
        <w:footnoteReference w:id="19"/>
      </w:r>
      <w:r w:rsidRPr="00421727">
        <w:rPr>
          <w:color w:val="1E1E1E"/>
        </w:rPr>
        <w:t>.</w:t>
      </w:r>
    </w:p>
    <w:sectPr w:rsidR="0028228B" w:rsidRPr="00BB15E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EE64A" w14:textId="77777777" w:rsidR="009F568B" w:rsidRDefault="009F568B" w:rsidP="002D37F6">
      <w:pPr>
        <w:spacing w:after="0" w:line="240" w:lineRule="auto"/>
      </w:pPr>
      <w:r>
        <w:separator/>
      </w:r>
    </w:p>
  </w:endnote>
  <w:endnote w:type="continuationSeparator" w:id="0">
    <w:p w14:paraId="236430E2" w14:textId="77777777" w:rsidR="009F568B" w:rsidRDefault="009F568B" w:rsidP="002D3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081636"/>
      <w:docPartObj>
        <w:docPartGallery w:val="Page Numbers (Bottom of Page)"/>
        <w:docPartUnique/>
      </w:docPartObj>
    </w:sdtPr>
    <w:sdtEndPr/>
    <w:sdtContent>
      <w:p w14:paraId="4DBB0D91" w14:textId="6E7477B9" w:rsidR="00212713" w:rsidRDefault="00212713">
        <w:pPr>
          <w:pStyle w:val="Pieddepage"/>
          <w:jc w:val="right"/>
        </w:pPr>
        <w:r>
          <w:fldChar w:fldCharType="begin"/>
        </w:r>
        <w:r>
          <w:instrText>PAGE   \* MERGEFORMAT</w:instrText>
        </w:r>
        <w:r>
          <w:fldChar w:fldCharType="separate"/>
        </w:r>
        <w:r>
          <w:t>2</w:t>
        </w:r>
        <w:r>
          <w:fldChar w:fldCharType="end"/>
        </w:r>
      </w:p>
    </w:sdtContent>
  </w:sdt>
  <w:p w14:paraId="5A67E602" w14:textId="77777777" w:rsidR="00212713" w:rsidRDefault="002127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E1910" w14:textId="77777777" w:rsidR="009F568B" w:rsidRDefault="009F568B" w:rsidP="002D37F6">
      <w:pPr>
        <w:spacing w:after="0" w:line="240" w:lineRule="auto"/>
      </w:pPr>
      <w:r>
        <w:separator/>
      </w:r>
    </w:p>
  </w:footnote>
  <w:footnote w:type="continuationSeparator" w:id="0">
    <w:p w14:paraId="381DAC3B" w14:textId="77777777" w:rsidR="009F568B" w:rsidRDefault="009F568B" w:rsidP="002D37F6">
      <w:pPr>
        <w:spacing w:after="0" w:line="240" w:lineRule="auto"/>
      </w:pPr>
      <w:r>
        <w:continuationSeparator/>
      </w:r>
    </w:p>
  </w:footnote>
  <w:footnote w:id="1">
    <w:p w14:paraId="002A788F" w14:textId="77777777" w:rsidR="006D394F" w:rsidRPr="00C36B8F" w:rsidRDefault="006D394F" w:rsidP="006D394F">
      <w:pPr>
        <w:pStyle w:val="Notedebasdepage"/>
        <w:jc w:val="both"/>
        <w:rPr>
          <w:rFonts w:ascii="Times New Roman" w:hAnsi="Times New Roman" w:cs="Times New Roman"/>
        </w:rPr>
      </w:pPr>
      <w:r w:rsidRPr="00C36B8F">
        <w:rPr>
          <w:rStyle w:val="Appelnotedebasdep"/>
          <w:rFonts w:ascii="Times New Roman" w:hAnsi="Times New Roman" w:cs="Times New Roman"/>
        </w:rPr>
        <w:footnoteRef/>
      </w:r>
      <w:r w:rsidRPr="00C36B8F">
        <w:rPr>
          <w:rFonts w:ascii="Times New Roman" w:hAnsi="Times New Roman" w:cs="Times New Roman"/>
        </w:rPr>
        <w:t xml:space="preserve"> Décision </w:t>
      </w:r>
      <w:r>
        <w:rPr>
          <w:rFonts w:ascii="Times New Roman" w:hAnsi="Times New Roman" w:cs="Times New Roman"/>
        </w:rPr>
        <w:t xml:space="preserve">QPC n°2020-888 </w:t>
      </w:r>
      <w:r w:rsidRPr="00C36B8F">
        <w:rPr>
          <w:rFonts w:ascii="Times New Roman" w:hAnsi="Times New Roman" w:cs="Times New Roman"/>
        </w:rPr>
        <w:t>du 12 mars 2021</w:t>
      </w:r>
      <w:r>
        <w:rPr>
          <w:rFonts w:ascii="Times New Roman" w:hAnsi="Times New Roman" w:cs="Times New Roman"/>
        </w:rPr>
        <w:t xml:space="preserve"> </w:t>
      </w:r>
      <w:r w:rsidRPr="00C36B8F">
        <w:rPr>
          <w:rFonts w:ascii="Times New Roman" w:hAnsi="Times New Roman" w:cs="Times New Roman"/>
        </w:rPr>
        <w:t>Mme Fouzia L. [Interdiction de recevoir des libéralités pour les personnes assistant certaines personnes vulnérables]</w:t>
      </w:r>
      <w:r>
        <w:rPr>
          <w:rFonts w:ascii="Times New Roman" w:hAnsi="Times New Roman" w:cs="Times New Roman"/>
        </w:rPr>
        <w:t xml:space="preserve">. </w:t>
      </w:r>
    </w:p>
  </w:footnote>
  <w:footnote w:id="2">
    <w:p w14:paraId="4F621BF2" w14:textId="066AAF31" w:rsidR="009F2636" w:rsidRDefault="009F2636" w:rsidP="001073FA">
      <w:pPr>
        <w:pStyle w:val="Notedebasdepage"/>
      </w:pPr>
      <w:r>
        <w:rPr>
          <w:rStyle w:val="Appelnotedebasdep"/>
        </w:rPr>
        <w:footnoteRef/>
      </w:r>
      <w:r>
        <w:t xml:space="preserve"> </w:t>
      </w:r>
      <w:r w:rsidR="006D394F">
        <w:rPr>
          <w:rFonts w:ascii="Times New Roman" w:hAnsi="Times New Roman" w:cs="Times New Roman"/>
        </w:rPr>
        <w:t>P</w:t>
      </w:r>
      <w:r w:rsidRPr="004F2909">
        <w:rPr>
          <w:rFonts w:ascii="Times New Roman" w:hAnsi="Times New Roman" w:cs="Times New Roman"/>
        </w:rPr>
        <w:t xml:space="preserve">our une présentation de cet aspect de la loi, v. </w:t>
      </w:r>
      <w:r w:rsidR="006D394F">
        <w:rPr>
          <w:rFonts w:ascii="Times New Roman" w:hAnsi="Times New Roman" w:cs="Times New Roman"/>
        </w:rPr>
        <w:t xml:space="preserve">not. </w:t>
      </w:r>
      <w:r w:rsidRPr="004F2909">
        <w:rPr>
          <w:rFonts w:ascii="Times New Roman" w:hAnsi="Times New Roman" w:cs="Times New Roman"/>
        </w:rPr>
        <w:t xml:space="preserve">M. </w:t>
      </w:r>
      <w:r w:rsidRPr="006D394F">
        <w:rPr>
          <w:rFonts w:ascii="Times New Roman" w:hAnsi="Times New Roman" w:cs="Times New Roman"/>
        </w:rPr>
        <w:t>Nicod</w:t>
      </w:r>
      <w:r w:rsidRPr="004F2909">
        <w:rPr>
          <w:rFonts w:ascii="Times New Roman" w:hAnsi="Times New Roman" w:cs="Times New Roman"/>
        </w:rPr>
        <w:t xml:space="preserve">, </w:t>
      </w:r>
      <w:r w:rsidR="006D394F">
        <w:rPr>
          <w:rFonts w:ascii="Times New Roman" w:hAnsi="Times New Roman" w:cs="Times New Roman"/>
        </w:rPr>
        <w:t>« </w:t>
      </w:r>
      <w:r w:rsidRPr="004F2909">
        <w:rPr>
          <w:rFonts w:ascii="Times New Roman" w:hAnsi="Times New Roman" w:cs="Times New Roman"/>
        </w:rPr>
        <w:t>Liberté de disposer de la personne âgée et lutte</w:t>
      </w:r>
      <w:r w:rsidR="006D394F">
        <w:rPr>
          <w:rFonts w:ascii="Times New Roman" w:hAnsi="Times New Roman" w:cs="Times New Roman"/>
        </w:rPr>
        <w:t xml:space="preserve"> </w:t>
      </w:r>
      <w:r w:rsidRPr="004F2909">
        <w:rPr>
          <w:rFonts w:ascii="Times New Roman" w:hAnsi="Times New Roman" w:cs="Times New Roman"/>
        </w:rPr>
        <w:t>contre les captations d’héritage</w:t>
      </w:r>
      <w:r w:rsidR="006D394F">
        <w:rPr>
          <w:rFonts w:ascii="Times New Roman" w:hAnsi="Times New Roman" w:cs="Times New Roman"/>
        </w:rPr>
        <w:t> »</w:t>
      </w:r>
      <w:r w:rsidRPr="004F2909">
        <w:rPr>
          <w:rFonts w:ascii="Times New Roman" w:hAnsi="Times New Roman" w:cs="Times New Roman"/>
        </w:rPr>
        <w:t>, Dr. Fam. n° 10, oct. 2016, doss. 36</w:t>
      </w:r>
      <w:r w:rsidR="006D394F">
        <w:rPr>
          <w:rFonts w:ascii="Times New Roman" w:hAnsi="Times New Roman" w:cs="Times New Roman"/>
        </w:rPr>
        <w:t>.</w:t>
      </w:r>
    </w:p>
  </w:footnote>
  <w:footnote w:id="3">
    <w:p w14:paraId="5E24C75B" w14:textId="26D1EC73" w:rsidR="009F2636" w:rsidRPr="009F2636" w:rsidRDefault="009F2636" w:rsidP="007563EB">
      <w:pPr>
        <w:spacing w:after="0" w:line="240" w:lineRule="auto"/>
        <w:jc w:val="both"/>
        <w:rPr>
          <w:rFonts w:ascii="Times New Roman" w:hAnsi="Times New Roman" w:cs="Times New Roman"/>
          <w:sz w:val="20"/>
          <w:szCs w:val="20"/>
        </w:rPr>
      </w:pPr>
      <w:r w:rsidRPr="009F2636">
        <w:rPr>
          <w:rStyle w:val="Appelnotedebasdep"/>
          <w:rFonts w:ascii="Times New Roman" w:hAnsi="Times New Roman" w:cs="Times New Roman"/>
          <w:sz w:val="20"/>
          <w:szCs w:val="20"/>
        </w:rPr>
        <w:footnoteRef/>
      </w:r>
      <w:r w:rsidRPr="009F2636">
        <w:rPr>
          <w:rFonts w:ascii="Times New Roman" w:hAnsi="Times New Roman" w:cs="Times New Roman"/>
          <w:sz w:val="20"/>
          <w:szCs w:val="20"/>
        </w:rPr>
        <w:t xml:space="preserve"> L’incapacité de jouissance prévue par la loi du 28 décembre 2015 porte </w:t>
      </w:r>
      <w:r w:rsidR="006D394F">
        <w:rPr>
          <w:rFonts w:ascii="Times New Roman" w:hAnsi="Times New Roman" w:cs="Times New Roman"/>
          <w:sz w:val="20"/>
          <w:szCs w:val="20"/>
        </w:rPr>
        <w:t>essentiellement</w:t>
      </w:r>
      <w:r w:rsidRPr="009F2636">
        <w:rPr>
          <w:rFonts w:ascii="Times New Roman" w:hAnsi="Times New Roman" w:cs="Times New Roman"/>
          <w:sz w:val="20"/>
          <w:szCs w:val="20"/>
        </w:rPr>
        <w:t xml:space="preserve"> sur les auxiliaires de vie qui interviennent à domicile par le biais d’un service organisé (CASF, art. L. 116-1, al. 1</w:t>
      </w:r>
      <w:r w:rsidRPr="009F2636">
        <w:rPr>
          <w:rFonts w:ascii="Times New Roman" w:hAnsi="Times New Roman" w:cs="Times New Roman"/>
          <w:sz w:val="20"/>
          <w:szCs w:val="20"/>
          <w:vertAlign w:val="superscript"/>
        </w:rPr>
        <w:t>er</w:t>
      </w:r>
      <w:r w:rsidRPr="009F2636">
        <w:rPr>
          <w:rFonts w:ascii="Times New Roman" w:hAnsi="Times New Roman" w:cs="Times New Roman"/>
          <w:sz w:val="20"/>
          <w:szCs w:val="20"/>
        </w:rPr>
        <w:t xml:space="preserve"> : « propriétaires, gestionnaires, administrateurs ou employés d’un service soumis à agrément ou à déclaration mentionné au 2° de l’article L. 7231-1 du Code du travail », ou à titre bénévole), ou par le biais d’un contrat de travail conclu avec les personnes bénéficiant de leur aide (CASF, art. L. 116-1, al. 2, visant les salariés mentionnés à l’article L. 7221-1 du Code du travail : employés par des particuliers à leur domicile privé pour réaliser des travaux à caractère familial ou ménager accomplissant des services à la personne définis au 2° de l’article L. 7231-1 du même code). L’article L. 116-4 </w:t>
      </w:r>
      <w:r w:rsidR="007563EB">
        <w:rPr>
          <w:rFonts w:ascii="Times New Roman" w:hAnsi="Times New Roman" w:cs="Times New Roman"/>
          <w:sz w:val="20"/>
          <w:szCs w:val="20"/>
        </w:rPr>
        <w:t xml:space="preserve">du CASF </w:t>
      </w:r>
      <w:r w:rsidRPr="009F2636">
        <w:rPr>
          <w:rFonts w:ascii="Times New Roman" w:hAnsi="Times New Roman" w:cs="Times New Roman"/>
          <w:sz w:val="20"/>
          <w:szCs w:val="20"/>
        </w:rPr>
        <w:t>renvoie également à l’article L. 7231-1 du Code du travail, qui vise le service à la personne consistant en « l’assistance aux personnes âgées, aux personnes handicapées ou aux autres personnes qui ont besoin d’une aide personnelle à leur domicile ou d’une aide à la mobilité dans l’environnement de proximité favorisant leur maintien à domicile »</w:t>
      </w:r>
      <w:r>
        <w:rPr>
          <w:rFonts w:ascii="Times New Roman" w:hAnsi="Times New Roman" w:cs="Times New Roman"/>
          <w:sz w:val="20"/>
          <w:szCs w:val="20"/>
        </w:rPr>
        <w:t>.</w:t>
      </w:r>
    </w:p>
  </w:footnote>
  <w:footnote w:id="4">
    <w:p w14:paraId="610B665F" w14:textId="79B12DB2" w:rsidR="009F2636" w:rsidRPr="009F2636" w:rsidRDefault="009F2636" w:rsidP="007563EB">
      <w:pPr>
        <w:pStyle w:val="Notedebasdepage"/>
        <w:jc w:val="both"/>
        <w:rPr>
          <w:rFonts w:ascii="Times New Roman" w:hAnsi="Times New Roman" w:cs="Times New Roman"/>
        </w:rPr>
      </w:pPr>
      <w:r w:rsidRPr="009F2636">
        <w:rPr>
          <w:rStyle w:val="Appelnotedebasdep"/>
          <w:rFonts w:ascii="Times New Roman" w:hAnsi="Times New Roman" w:cs="Times New Roman"/>
        </w:rPr>
        <w:footnoteRef/>
      </w:r>
      <w:r w:rsidRPr="009F2636">
        <w:rPr>
          <w:rFonts w:ascii="Times New Roman" w:hAnsi="Times New Roman" w:cs="Times New Roman"/>
        </w:rPr>
        <w:t xml:space="preserve"> </w:t>
      </w:r>
      <w:r w:rsidR="007563EB">
        <w:rPr>
          <w:rFonts w:ascii="Times New Roman" w:hAnsi="Times New Roman" w:cs="Times New Roman"/>
        </w:rPr>
        <w:t>L</w:t>
      </w:r>
      <w:r w:rsidRPr="009F2636">
        <w:rPr>
          <w:rFonts w:ascii="Times New Roman" w:hAnsi="Times New Roman" w:cs="Times New Roman"/>
        </w:rPr>
        <w:t>’incapacité de disposer frappe « les personnes prises en charge par le service » (CASF, art. L. 116-4, I, al. 1er) et les personnes accompagnées (CASF, art. L. 116-4, I, al. 2), ce qui, par l’effet du renvoi au code du travail, vise les personnes âgées, les personnes handicapées et les autres personnes qui ont besoin d’une aide personnelle à leur domicile ou d’une aide à la mobilité favorisant leur maintien à domicile.</w:t>
      </w:r>
    </w:p>
  </w:footnote>
  <w:footnote w:id="5">
    <w:p w14:paraId="5976DA3F" w14:textId="6D2FCB7B" w:rsidR="00C27EAA" w:rsidRPr="00EC5BB8" w:rsidRDefault="00C27EAA" w:rsidP="00EC5BB8">
      <w:pPr>
        <w:pStyle w:val="Notedebasdepage"/>
        <w:jc w:val="both"/>
        <w:rPr>
          <w:rFonts w:ascii="Times New Roman" w:hAnsi="Times New Roman" w:cs="Times New Roman"/>
        </w:rPr>
      </w:pPr>
      <w:r w:rsidRPr="00EC5BB8">
        <w:rPr>
          <w:rStyle w:val="Appelnotedebasdep"/>
          <w:rFonts w:ascii="Times New Roman" w:hAnsi="Times New Roman" w:cs="Times New Roman"/>
        </w:rPr>
        <w:footnoteRef/>
      </w:r>
      <w:r w:rsidRPr="00EC5BB8">
        <w:rPr>
          <w:rFonts w:ascii="Times New Roman" w:hAnsi="Times New Roman" w:cs="Times New Roman"/>
        </w:rPr>
        <w:t xml:space="preserve"> </w:t>
      </w:r>
      <w:r w:rsidR="007563EB">
        <w:rPr>
          <w:rFonts w:ascii="Times New Roman" w:hAnsi="Times New Roman" w:cs="Times New Roman"/>
        </w:rPr>
        <w:t xml:space="preserve">D. </w:t>
      </w:r>
      <w:proofErr w:type="spellStart"/>
      <w:r w:rsidR="007563EB">
        <w:rPr>
          <w:rFonts w:ascii="Times New Roman" w:hAnsi="Times New Roman" w:cs="Times New Roman"/>
        </w:rPr>
        <w:t>Nogero</w:t>
      </w:r>
      <w:proofErr w:type="spellEnd"/>
      <w:r w:rsidR="007563EB">
        <w:rPr>
          <w:rFonts w:ascii="Times New Roman" w:hAnsi="Times New Roman" w:cs="Times New Roman"/>
        </w:rPr>
        <w:t>, « </w:t>
      </w:r>
      <w:r w:rsidR="007563EB" w:rsidRPr="007563EB">
        <w:rPr>
          <w:rFonts w:ascii="Times New Roman" w:hAnsi="Times New Roman" w:cs="Times New Roman"/>
        </w:rPr>
        <w:t>Incapacité de recevoir une libéralité, atteinte au droit de disposer librement du patrimoine, vulnérabilité, et inconstitutionnalité de l’article L. 116-4, I, du Code de l’action sociale et des familles</w:t>
      </w:r>
      <w:r w:rsidR="00787552">
        <w:rPr>
          <w:rFonts w:ascii="Times New Roman" w:hAnsi="Times New Roman" w:cs="Times New Roman"/>
        </w:rPr>
        <w:t> »</w:t>
      </w:r>
      <w:r w:rsidR="007563EB">
        <w:rPr>
          <w:rFonts w:ascii="Times New Roman" w:hAnsi="Times New Roman" w:cs="Times New Roman"/>
        </w:rPr>
        <w:t xml:space="preserve">. </w:t>
      </w:r>
    </w:p>
  </w:footnote>
  <w:footnote w:id="6">
    <w:p w14:paraId="4DF8648B" w14:textId="13D93428" w:rsidR="00EA41C3" w:rsidRPr="00EC5BB8" w:rsidRDefault="00EA41C3" w:rsidP="00EC5BB8">
      <w:pPr>
        <w:pStyle w:val="Notedebasdepage"/>
        <w:jc w:val="both"/>
        <w:rPr>
          <w:rFonts w:ascii="Times New Roman" w:hAnsi="Times New Roman" w:cs="Times New Roman"/>
        </w:rPr>
      </w:pPr>
      <w:r w:rsidRPr="00EC5BB8">
        <w:rPr>
          <w:rStyle w:val="Appelnotedebasdep"/>
          <w:rFonts w:ascii="Times New Roman" w:hAnsi="Times New Roman" w:cs="Times New Roman"/>
        </w:rPr>
        <w:footnoteRef/>
      </w:r>
      <w:r w:rsidRPr="00EC5BB8">
        <w:rPr>
          <w:rFonts w:ascii="Times New Roman" w:hAnsi="Times New Roman" w:cs="Times New Roman"/>
        </w:rPr>
        <w:t xml:space="preserve"> Cons. </w:t>
      </w:r>
      <w:proofErr w:type="spellStart"/>
      <w:proofErr w:type="gramStart"/>
      <w:r w:rsidRPr="00EC5BB8">
        <w:rPr>
          <w:rFonts w:ascii="Times New Roman" w:hAnsi="Times New Roman" w:cs="Times New Roman"/>
        </w:rPr>
        <w:t>const</w:t>
      </w:r>
      <w:proofErr w:type="spellEnd"/>
      <w:proofErr w:type="gramEnd"/>
      <w:r w:rsidRPr="00EC5BB8">
        <w:rPr>
          <w:rFonts w:ascii="Times New Roman" w:hAnsi="Times New Roman" w:cs="Times New Roman"/>
        </w:rPr>
        <w:t>. 29 janv. 2015, n° 2014-444 QPC, D. 2015. 269</w:t>
      </w:r>
    </w:p>
  </w:footnote>
  <w:footnote w:id="7">
    <w:p w14:paraId="425F7341" w14:textId="35016D26" w:rsidR="00F253A5" w:rsidRPr="00EC5BB8" w:rsidRDefault="00F253A5" w:rsidP="00EC5BB8">
      <w:pPr>
        <w:pStyle w:val="Notedebasdepage"/>
        <w:jc w:val="both"/>
        <w:rPr>
          <w:rFonts w:ascii="Times New Roman" w:hAnsi="Times New Roman" w:cs="Times New Roman"/>
        </w:rPr>
      </w:pPr>
      <w:r w:rsidRPr="00EC5BB8">
        <w:rPr>
          <w:rStyle w:val="Appelnotedebasdep"/>
          <w:rFonts w:ascii="Times New Roman" w:hAnsi="Times New Roman" w:cs="Times New Roman"/>
        </w:rPr>
        <w:footnoteRef/>
      </w:r>
      <w:r w:rsidRPr="00EC5BB8">
        <w:rPr>
          <w:rFonts w:ascii="Times New Roman" w:hAnsi="Times New Roman" w:cs="Times New Roman"/>
        </w:rPr>
        <w:t xml:space="preserve"> </w:t>
      </w:r>
      <w:r w:rsidRPr="00EC5BB8">
        <w:rPr>
          <w:rFonts w:ascii="Times New Roman" w:eastAsia="Times New Roman" w:hAnsi="Times New Roman" w:cs="Times New Roman"/>
          <w:lang w:eastAsia="fr-FR"/>
        </w:rPr>
        <w:t xml:space="preserve">Cons. </w:t>
      </w:r>
      <w:proofErr w:type="spellStart"/>
      <w:proofErr w:type="gramStart"/>
      <w:r w:rsidRPr="00EC5BB8">
        <w:rPr>
          <w:rFonts w:ascii="Times New Roman" w:eastAsia="Times New Roman" w:hAnsi="Times New Roman" w:cs="Times New Roman"/>
          <w:lang w:eastAsia="fr-FR"/>
        </w:rPr>
        <w:t>const</w:t>
      </w:r>
      <w:proofErr w:type="spellEnd"/>
      <w:proofErr w:type="gramEnd"/>
      <w:r w:rsidRPr="00EC5BB8">
        <w:rPr>
          <w:rFonts w:ascii="Times New Roman" w:eastAsia="Times New Roman" w:hAnsi="Times New Roman" w:cs="Times New Roman"/>
          <w:lang w:eastAsia="fr-FR"/>
        </w:rPr>
        <w:t xml:space="preserve">. 29 juill. 1998, n° 98-403 DC, § 40, AJDA 1998. </w:t>
      </w:r>
      <w:r w:rsidRPr="00757D3A">
        <w:rPr>
          <w:rFonts w:ascii="Times New Roman" w:eastAsia="Times New Roman" w:hAnsi="Times New Roman" w:cs="Times New Roman"/>
          <w:lang w:val="en-US" w:eastAsia="fr-FR"/>
        </w:rPr>
        <w:t>739 </w:t>
      </w:r>
      <w:r w:rsidRPr="00EC5BB8">
        <w:rPr>
          <w:rFonts w:ascii="Times New Roman" w:eastAsia="Times New Roman" w:hAnsi="Times New Roman" w:cs="Times New Roman"/>
          <w:noProof/>
          <w:lang w:eastAsia="fr-FR"/>
        </w:rPr>
        <w:drawing>
          <wp:inline distT="0" distB="0" distL="0" distR="0" wp14:anchorId="12C507CD" wp14:editId="2BC8F168">
            <wp:extent cx="115570" cy="122555"/>
            <wp:effectExtent l="0" t="0" r="0" b="0"/>
            <wp:docPr id="32" name="Image 32">
              <a:hlinkClick xmlns:a="http://schemas.openxmlformats.org/drawingml/2006/main" r:id="rId1"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 tooltip="&quot;consulter le fond documentair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70" cy="122555"/>
                    </a:xfrm>
                    <a:prstGeom prst="rect">
                      <a:avLst/>
                    </a:prstGeom>
                    <a:noFill/>
                    <a:ln>
                      <a:noFill/>
                    </a:ln>
                  </pic:spPr>
                </pic:pic>
              </a:graphicData>
            </a:graphic>
          </wp:inline>
        </w:drawing>
      </w:r>
      <w:r w:rsidRPr="00757D3A">
        <w:rPr>
          <w:rFonts w:ascii="Times New Roman" w:eastAsia="Times New Roman" w:hAnsi="Times New Roman" w:cs="Times New Roman"/>
          <w:lang w:val="en-US" w:eastAsia="fr-FR"/>
        </w:rPr>
        <w:t> ; </w:t>
      </w:r>
      <w:r w:rsidRPr="00757D3A">
        <w:rPr>
          <w:rFonts w:ascii="Times New Roman" w:eastAsia="Times New Roman" w:hAnsi="Times New Roman" w:cs="Times New Roman"/>
          <w:i/>
          <w:iCs/>
          <w:lang w:val="en-US" w:eastAsia="fr-FR"/>
        </w:rPr>
        <w:t>ibid</w:t>
      </w:r>
      <w:r w:rsidRPr="00757D3A">
        <w:rPr>
          <w:rFonts w:ascii="Times New Roman" w:eastAsia="Times New Roman" w:hAnsi="Times New Roman" w:cs="Times New Roman"/>
          <w:lang w:val="en-US" w:eastAsia="fr-FR"/>
        </w:rPr>
        <w:t>. 705, note J.-E. Schoettl </w:t>
      </w:r>
      <w:r w:rsidRPr="00EC5BB8">
        <w:rPr>
          <w:rFonts w:ascii="Times New Roman" w:eastAsia="Times New Roman" w:hAnsi="Times New Roman" w:cs="Times New Roman"/>
          <w:noProof/>
          <w:lang w:eastAsia="fr-FR"/>
        </w:rPr>
        <w:drawing>
          <wp:inline distT="0" distB="0" distL="0" distR="0" wp14:anchorId="56E1E385" wp14:editId="32E23CC2">
            <wp:extent cx="115570" cy="122555"/>
            <wp:effectExtent l="0" t="0" r="0" b="0"/>
            <wp:docPr id="31" name="Image 31">
              <a:hlinkClick xmlns:a="http://schemas.openxmlformats.org/drawingml/2006/main" r:id="rId3"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3" tooltip="&quot;consulter le fond documentair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70" cy="122555"/>
                    </a:xfrm>
                    <a:prstGeom prst="rect">
                      <a:avLst/>
                    </a:prstGeom>
                    <a:noFill/>
                    <a:ln>
                      <a:noFill/>
                    </a:ln>
                  </pic:spPr>
                </pic:pic>
              </a:graphicData>
            </a:graphic>
          </wp:inline>
        </w:drawing>
      </w:r>
      <w:r w:rsidRPr="00757D3A">
        <w:rPr>
          <w:rFonts w:ascii="Times New Roman" w:eastAsia="Times New Roman" w:hAnsi="Times New Roman" w:cs="Times New Roman"/>
          <w:lang w:val="en-US" w:eastAsia="fr-FR"/>
        </w:rPr>
        <w:t xml:space="preserve"> ; D. 1999. </w:t>
      </w:r>
      <w:r w:rsidRPr="00EC5BB8">
        <w:rPr>
          <w:rFonts w:ascii="Times New Roman" w:eastAsia="Times New Roman" w:hAnsi="Times New Roman" w:cs="Times New Roman"/>
          <w:lang w:eastAsia="fr-FR"/>
        </w:rPr>
        <w:t>269 </w:t>
      </w:r>
      <w:r w:rsidRPr="00EC5BB8">
        <w:rPr>
          <w:rFonts w:ascii="Times New Roman" w:eastAsia="Times New Roman" w:hAnsi="Times New Roman" w:cs="Times New Roman"/>
          <w:noProof/>
          <w:lang w:eastAsia="fr-FR"/>
        </w:rPr>
        <w:drawing>
          <wp:inline distT="0" distB="0" distL="0" distR="0" wp14:anchorId="2C41B758" wp14:editId="70236EC7">
            <wp:extent cx="115570" cy="122555"/>
            <wp:effectExtent l="0" t="0" r="0" b="0"/>
            <wp:docPr id="30" name="Image 30">
              <a:hlinkClick xmlns:a="http://schemas.openxmlformats.org/drawingml/2006/main" r:id="rId4"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4" tooltip="&quot;consulter le fond documentair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70" cy="122555"/>
                    </a:xfrm>
                    <a:prstGeom prst="rect">
                      <a:avLst/>
                    </a:prstGeom>
                    <a:noFill/>
                    <a:ln>
                      <a:noFill/>
                    </a:ln>
                  </pic:spPr>
                </pic:pic>
              </a:graphicData>
            </a:graphic>
          </wp:inline>
        </w:drawing>
      </w:r>
      <w:r w:rsidRPr="00EC5BB8">
        <w:rPr>
          <w:rFonts w:ascii="Times New Roman" w:eastAsia="Times New Roman" w:hAnsi="Times New Roman" w:cs="Times New Roman"/>
          <w:lang w:eastAsia="fr-FR"/>
        </w:rPr>
        <w:t xml:space="preserve">, note W. </w:t>
      </w:r>
      <w:proofErr w:type="spellStart"/>
      <w:r w:rsidRPr="00EC5BB8">
        <w:rPr>
          <w:rFonts w:ascii="Times New Roman" w:eastAsia="Times New Roman" w:hAnsi="Times New Roman" w:cs="Times New Roman"/>
          <w:lang w:eastAsia="fr-FR"/>
        </w:rPr>
        <w:t>Sabete</w:t>
      </w:r>
      <w:proofErr w:type="spellEnd"/>
      <w:r w:rsidRPr="00EC5BB8">
        <w:rPr>
          <w:rFonts w:ascii="Times New Roman" w:eastAsia="Times New Roman" w:hAnsi="Times New Roman" w:cs="Times New Roman"/>
          <w:lang w:eastAsia="fr-FR"/>
        </w:rPr>
        <w:t> </w:t>
      </w:r>
      <w:r w:rsidRPr="00EC5BB8">
        <w:rPr>
          <w:rFonts w:ascii="Times New Roman" w:eastAsia="Times New Roman" w:hAnsi="Times New Roman" w:cs="Times New Roman"/>
          <w:noProof/>
          <w:lang w:eastAsia="fr-FR"/>
        </w:rPr>
        <w:drawing>
          <wp:inline distT="0" distB="0" distL="0" distR="0" wp14:anchorId="1A5DB0E5" wp14:editId="17580A8D">
            <wp:extent cx="115570" cy="122555"/>
            <wp:effectExtent l="0" t="0" r="0" b="0"/>
            <wp:docPr id="29" name="Image 29">
              <a:hlinkClick xmlns:a="http://schemas.openxmlformats.org/drawingml/2006/main" r:id="rId5"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5" tooltip="&quot;consulter le fond documentair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70" cy="122555"/>
                    </a:xfrm>
                    <a:prstGeom prst="rect">
                      <a:avLst/>
                    </a:prstGeom>
                    <a:noFill/>
                    <a:ln>
                      <a:noFill/>
                    </a:ln>
                  </pic:spPr>
                </pic:pic>
              </a:graphicData>
            </a:graphic>
          </wp:inline>
        </w:drawing>
      </w:r>
      <w:r w:rsidRPr="00EC5BB8">
        <w:rPr>
          <w:rFonts w:ascii="Times New Roman" w:eastAsia="Times New Roman" w:hAnsi="Times New Roman" w:cs="Times New Roman"/>
          <w:lang w:eastAsia="fr-FR"/>
        </w:rPr>
        <w:t> ; </w:t>
      </w:r>
      <w:r w:rsidRPr="00EC5BB8">
        <w:rPr>
          <w:rFonts w:ascii="Times New Roman" w:eastAsia="Times New Roman" w:hAnsi="Times New Roman" w:cs="Times New Roman"/>
          <w:i/>
          <w:iCs/>
          <w:lang w:eastAsia="fr-FR"/>
        </w:rPr>
        <w:t>ibid</w:t>
      </w:r>
      <w:r w:rsidRPr="00EC5BB8">
        <w:rPr>
          <w:rFonts w:ascii="Times New Roman" w:eastAsia="Times New Roman" w:hAnsi="Times New Roman" w:cs="Times New Roman"/>
          <w:lang w:eastAsia="fr-FR"/>
        </w:rPr>
        <w:t xml:space="preserve">. 2000. 61, obs. J. </w:t>
      </w:r>
      <w:proofErr w:type="spellStart"/>
      <w:r w:rsidRPr="00EC5BB8">
        <w:rPr>
          <w:rFonts w:ascii="Times New Roman" w:eastAsia="Times New Roman" w:hAnsi="Times New Roman" w:cs="Times New Roman"/>
          <w:lang w:eastAsia="fr-FR"/>
        </w:rPr>
        <w:t>Trémeau</w:t>
      </w:r>
      <w:proofErr w:type="spellEnd"/>
      <w:r w:rsidRPr="00EC5BB8">
        <w:rPr>
          <w:rFonts w:ascii="Times New Roman" w:eastAsia="Times New Roman" w:hAnsi="Times New Roman" w:cs="Times New Roman"/>
          <w:lang w:eastAsia="fr-FR"/>
        </w:rPr>
        <w:t> </w:t>
      </w:r>
      <w:r w:rsidRPr="00EC5BB8">
        <w:rPr>
          <w:rFonts w:ascii="Times New Roman" w:eastAsia="Times New Roman" w:hAnsi="Times New Roman" w:cs="Times New Roman"/>
          <w:noProof/>
          <w:lang w:eastAsia="fr-FR"/>
        </w:rPr>
        <w:drawing>
          <wp:inline distT="0" distB="0" distL="0" distR="0" wp14:anchorId="27997008" wp14:editId="446BAE36">
            <wp:extent cx="115570" cy="122555"/>
            <wp:effectExtent l="0" t="0" r="0" b="0"/>
            <wp:docPr id="28" name="Image 28">
              <a:hlinkClick xmlns:a="http://schemas.openxmlformats.org/drawingml/2006/main" r:id="rId6"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6" tooltip="&quot;consulter le fond documentair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70" cy="122555"/>
                    </a:xfrm>
                    <a:prstGeom prst="rect">
                      <a:avLst/>
                    </a:prstGeom>
                    <a:noFill/>
                    <a:ln>
                      <a:noFill/>
                    </a:ln>
                  </pic:spPr>
                </pic:pic>
              </a:graphicData>
            </a:graphic>
          </wp:inline>
        </w:drawing>
      </w:r>
      <w:r w:rsidRPr="00EC5BB8">
        <w:rPr>
          <w:rFonts w:ascii="Times New Roman" w:eastAsia="Times New Roman" w:hAnsi="Times New Roman" w:cs="Times New Roman"/>
          <w:lang w:eastAsia="fr-FR"/>
        </w:rPr>
        <w:t xml:space="preserve"> ; RDSS 1998. 923, obs. M. </w:t>
      </w:r>
      <w:proofErr w:type="spellStart"/>
      <w:r w:rsidRPr="00EC5BB8">
        <w:rPr>
          <w:rFonts w:ascii="Times New Roman" w:eastAsia="Times New Roman" w:hAnsi="Times New Roman" w:cs="Times New Roman"/>
          <w:lang w:eastAsia="fr-FR"/>
        </w:rPr>
        <w:t>Badel</w:t>
      </w:r>
      <w:proofErr w:type="spellEnd"/>
      <w:r w:rsidRPr="00EC5BB8">
        <w:rPr>
          <w:rFonts w:ascii="Times New Roman" w:eastAsia="Times New Roman" w:hAnsi="Times New Roman" w:cs="Times New Roman"/>
          <w:lang w:eastAsia="fr-FR"/>
        </w:rPr>
        <w:t xml:space="preserve">, I. </w:t>
      </w:r>
      <w:proofErr w:type="spellStart"/>
      <w:r w:rsidRPr="00EC5BB8">
        <w:rPr>
          <w:rFonts w:ascii="Times New Roman" w:eastAsia="Times New Roman" w:hAnsi="Times New Roman" w:cs="Times New Roman"/>
          <w:lang w:eastAsia="fr-FR"/>
        </w:rPr>
        <w:t>Daugareilh</w:t>
      </w:r>
      <w:proofErr w:type="spellEnd"/>
      <w:r w:rsidRPr="00EC5BB8">
        <w:rPr>
          <w:rFonts w:ascii="Times New Roman" w:eastAsia="Times New Roman" w:hAnsi="Times New Roman" w:cs="Times New Roman"/>
          <w:lang w:eastAsia="fr-FR"/>
        </w:rPr>
        <w:t xml:space="preserve">, J.-P. Laborde et R. </w:t>
      </w:r>
      <w:proofErr w:type="spellStart"/>
      <w:r w:rsidRPr="00EC5BB8">
        <w:rPr>
          <w:rFonts w:ascii="Times New Roman" w:eastAsia="Times New Roman" w:hAnsi="Times New Roman" w:cs="Times New Roman"/>
          <w:lang w:eastAsia="fr-FR"/>
        </w:rPr>
        <w:t>Lafore</w:t>
      </w:r>
      <w:proofErr w:type="spellEnd"/>
      <w:r w:rsidRPr="00EC5BB8">
        <w:rPr>
          <w:rFonts w:ascii="Times New Roman" w:eastAsia="Times New Roman" w:hAnsi="Times New Roman" w:cs="Times New Roman"/>
          <w:lang w:eastAsia="fr-FR"/>
        </w:rPr>
        <w:t> </w:t>
      </w:r>
      <w:r w:rsidRPr="00EC5BB8">
        <w:rPr>
          <w:rFonts w:ascii="Times New Roman" w:eastAsia="Times New Roman" w:hAnsi="Times New Roman" w:cs="Times New Roman"/>
          <w:noProof/>
          <w:lang w:eastAsia="fr-FR"/>
        </w:rPr>
        <w:drawing>
          <wp:inline distT="0" distB="0" distL="0" distR="0" wp14:anchorId="72071625" wp14:editId="14E9830E">
            <wp:extent cx="115570" cy="122555"/>
            <wp:effectExtent l="0" t="0" r="0" b="0"/>
            <wp:docPr id="27" name="Image 27">
              <a:hlinkClick xmlns:a="http://schemas.openxmlformats.org/drawingml/2006/main" r:id="rId7"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7" tooltip="&quot;consulter le fond documentair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70" cy="122555"/>
                    </a:xfrm>
                    <a:prstGeom prst="rect">
                      <a:avLst/>
                    </a:prstGeom>
                    <a:noFill/>
                    <a:ln>
                      <a:noFill/>
                    </a:ln>
                  </pic:spPr>
                </pic:pic>
              </a:graphicData>
            </a:graphic>
          </wp:inline>
        </w:drawing>
      </w:r>
      <w:r w:rsidRPr="00EC5BB8">
        <w:rPr>
          <w:rFonts w:ascii="Times New Roman" w:eastAsia="Times New Roman" w:hAnsi="Times New Roman" w:cs="Times New Roman"/>
          <w:lang w:eastAsia="fr-FR"/>
        </w:rPr>
        <w:t> ; RTD civ. 1998. 796, obs. N. Molfessis </w:t>
      </w:r>
      <w:r w:rsidRPr="00EC5BB8">
        <w:rPr>
          <w:rFonts w:ascii="Times New Roman" w:eastAsia="Times New Roman" w:hAnsi="Times New Roman" w:cs="Times New Roman"/>
          <w:noProof/>
          <w:lang w:eastAsia="fr-FR"/>
        </w:rPr>
        <w:drawing>
          <wp:inline distT="0" distB="0" distL="0" distR="0" wp14:anchorId="5D555C11" wp14:editId="2EB9E9EB">
            <wp:extent cx="115570" cy="122555"/>
            <wp:effectExtent l="0" t="0" r="0" b="0"/>
            <wp:docPr id="26" name="Image 26">
              <a:hlinkClick xmlns:a="http://schemas.openxmlformats.org/drawingml/2006/main" r:id="rId8"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8" tooltip="&quot;consulter le fond documentair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70" cy="122555"/>
                    </a:xfrm>
                    <a:prstGeom prst="rect">
                      <a:avLst/>
                    </a:prstGeom>
                    <a:noFill/>
                    <a:ln>
                      <a:noFill/>
                    </a:ln>
                  </pic:spPr>
                </pic:pic>
              </a:graphicData>
            </a:graphic>
          </wp:inline>
        </w:drawing>
      </w:r>
      <w:r w:rsidRPr="00EC5BB8">
        <w:rPr>
          <w:rFonts w:ascii="Times New Roman" w:eastAsia="Times New Roman" w:hAnsi="Times New Roman" w:cs="Times New Roman"/>
          <w:lang w:eastAsia="fr-FR"/>
        </w:rPr>
        <w:t> ; </w:t>
      </w:r>
      <w:r w:rsidRPr="00EC5BB8">
        <w:rPr>
          <w:rFonts w:ascii="Times New Roman" w:eastAsia="Times New Roman" w:hAnsi="Times New Roman" w:cs="Times New Roman"/>
          <w:i/>
          <w:iCs/>
          <w:lang w:eastAsia="fr-FR"/>
        </w:rPr>
        <w:t>ibid</w:t>
      </w:r>
      <w:r w:rsidRPr="00EC5BB8">
        <w:rPr>
          <w:rFonts w:ascii="Times New Roman" w:eastAsia="Times New Roman" w:hAnsi="Times New Roman" w:cs="Times New Roman"/>
          <w:lang w:eastAsia="fr-FR"/>
        </w:rPr>
        <w:t xml:space="preserve">. 1999. 132, obs. F. </w:t>
      </w:r>
      <w:proofErr w:type="spellStart"/>
      <w:r w:rsidRPr="00EC5BB8">
        <w:rPr>
          <w:rFonts w:ascii="Times New Roman" w:eastAsia="Times New Roman" w:hAnsi="Times New Roman" w:cs="Times New Roman"/>
          <w:lang w:eastAsia="fr-FR"/>
        </w:rPr>
        <w:t>Zenati</w:t>
      </w:r>
      <w:proofErr w:type="spellEnd"/>
      <w:r w:rsidRPr="00EC5BB8">
        <w:rPr>
          <w:rFonts w:ascii="Times New Roman" w:eastAsia="Times New Roman" w:hAnsi="Times New Roman" w:cs="Times New Roman"/>
          <w:lang w:eastAsia="fr-FR"/>
        </w:rPr>
        <w:t> </w:t>
      </w:r>
      <w:r w:rsidRPr="00EC5BB8">
        <w:rPr>
          <w:rFonts w:ascii="Times New Roman" w:eastAsia="Times New Roman" w:hAnsi="Times New Roman" w:cs="Times New Roman"/>
          <w:noProof/>
          <w:lang w:eastAsia="fr-FR"/>
        </w:rPr>
        <w:drawing>
          <wp:inline distT="0" distB="0" distL="0" distR="0" wp14:anchorId="2D4FABDF" wp14:editId="64815922">
            <wp:extent cx="115570" cy="122555"/>
            <wp:effectExtent l="0" t="0" r="0" b="0"/>
            <wp:docPr id="25" name="Image 25">
              <a:hlinkClick xmlns:a="http://schemas.openxmlformats.org/drawingml/2006/main" r:id="rId9"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9" tooltip="&quot;consulter le fond documentair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70" cy="122555"/>
                    </a:xfrm>
                    <a:prstGeom prst="rect">
                      <a:avLst/>
                    </a:prstGeom>
                    <a:noFill/>
                    <a:ln>
                      <a:noFill/>
                    </a:ln>
                  </pic:spPr>
                </pic:pic>
              </a:graphicData>
            </a:graphic>
          </wp:inline>
        </w:drawing>
      </w:r>
      <w:r w:rsidRPr="00EC5BB8">
        <w:rPr>
          <w:rFonts w:ascii="Times New Roman" w:eastAsia="Times New Roman" w:hAnsi="Times New Roman" w:cs="Times New Roman"/>
          <w:lang w:eastAsia="fr-FR"/>
        </w:rPr>
        <w:t> ; </w:t>
      </w:r>
      <w:r w:rsidRPr="00EC5BB8">
        <w:rPr>
          <w:rFonts w:ascii="Times New Roman" w:eastAsia="Times New Roman" w:hAnsi="Times New Roman" w:cs="Times New Roman"/>
          <w:i/>
          <w:iCs/>
          <w:lang w:eastAsia="fr-FR"/>
        </w:rPr>
        <w:t>ibid</w:t>
      </w:r>
      <w:r w:rsidRPr="00EC5BB8">
        <w:rPr>
          <w:rFonts w:ascii="Times New Roman" w:eastAsia="Times New Roman" w:hAnsi="Times New Roman" w:cs="Times New Roman"/>
          <w:lang w:eastAsia="fr-FR"/>
        </w:rPr>
        <w:t xml:space="preserve">. 136, obs. F. </w:t>
      </w:r>
      <w:proofErr w:type="spellStart"/>
      <w:r w:rsidRPr="00EC5BB8">
        <w:rPr>
          <w:rFonts w:ascii="Times New Roman" w:eastAsia="Times New Roman" w:hAnsi="Times New Roman" w:cs="Times New Roman"/>
          <w:lang w:eastAsia="fr-FR"/>
        </w:rPr>
        <w:t>Zenati</w:t>
      </w:r>
      <w:proofErr w:type="spellEnd"/>
      <w:r w:rsidRPr="00EC5BB8">
        <w:rPr>
          <w:rFonts w:ascii="Times New Roman" w:eastAsia="Times New Roman" w:hAnsi="Times New Roman" w:cs="Times New Roman"/>
          <w:lang w:eastAsia="fr-FR"/>
        </w:rPr>
        <w:t> </w:t>
      </w:r>
    </w:p>
  </w:footnote>
  <w:footnote w:id="8">
    <w:p w14:paraId="6E74BEAC" w14:textId="66BDB38B" w:rsidR="00F253A5" w:rsidRPr="00EC5BB8" w:rsidRDefault="00F253A5" w:rsidP="00EC5BB8">
      <w:pPr>
        <w:pStyle w:val="Notedebasdepage"/>
        <w:jc w:val="both"/>
        <w:rPr>
          <w:rFonts w:ascii="Times New Roman" w:hAnsi="Times New Roman" w:cs="Times New Roman"/>
        </w:rPr>
      </w:pPr>
      <w:r w:rsidRPr="00EC5BB8">
        <w:rPr>
          <w:rStyle w:val="Appelnotedebasdep"/>
          <w:rFonts w:ascii="Times New Roman" w:hAnsi="Times New Roman" w:cs="Times New Roman"/>
        </w:rPr>
        <w:footnoteRef/>
      </w:r>
      <w:r w:rsidRPr="00EC5BB8">
        <w:rPr>
          <w:rFonts w:ascii="Times New Roman" w:hAnsi="Times New Roman" w:cs="Times New Roman"/>
        </w:rPr>
        <w:t xml:space="preserve"> </w:t>
      </w:r>
      <w:r w:rsidRPr="00EC5BB8">
        <w:rPr>
          <w:rFonts w:ascii="Times New Roman" w:eastAsia="Times New Roman" w:hAnsi="Times New Roman" w:cs="Times New Roman"/>
          <w:lang w:eastAsia="fr-FR"/>
        </w:rPr>
        <w:t xml:space="preserve">Cons. </w:t>
      </w:r>
      <w:proofErr w:type="spellStart"/>
      <w:proofErr w:type="gramStart"/>
      <w:r w:rsidRPr="00EC5BB8">
        <w:rPr>
          <w:rFonts w:ascii="Times New Roman" w:eastAsia="Times New Roman" w:hAnsi="Times New Roman" w:cs="Times New Roman"/>
          <w:lang w:eastAsia="fr-FR"/>
        </w:rPr>
        <w:t>const</w:t>
      </w:r>
      <w:proofErr w:type="spellEnd"/>
      <w:proofErr w:type="gramEnd"/>
      <w:r w:rsidRPr="00EC5BB8">
        <w:rPr>
          <w:rFonts w:ascii="Times New Roman" w:eastAsia="Times New Roman" w:hAnsi="Times New Roman" w:cs="Times New Roman"/>
          <w:lang w:eastAsia="fr-FR"/>
        </w:rPr>
        <w:t xml:space="preserve">. 9 avr. 1996, n° 96-373 DC, AJDA 1996. </w:t>
      </w:r>
      <w:r w:rsidRPr="00757D3A">
        <w:rPr>
          <w:rFonts w:ascii="Times New Roman" w:eastAsia="Times New Roman" w:hAnsi="Times New Roman" w:cs="Times New Roman"/>
          <w:lang w:val="en-US" w:eastAsia="fr-FR"/>
        </w:rPr>
        <w:t>371 </w:t>
      </w:r>
      <w:r w:rsidRPr="00EC5BB8">
        <w:rPr>
          <w:rFonts w:ascii="Times New Roman" w:eastAsia="Times New Roman" w:hAnsi="Times New Roman" w:cs="Times New Roman"/>
          <w:noProof/>
          <w:lang w:eastAsia="fr-FR"/>
        </w:rPr>
        <w:drawing>
          <wp:inline distT="0" distB="0" distL="0" distR="0" wp14:anchorId="169DDC4D" wp14:editId="411932AA">
            <wp:extent cx="115570" cy="122555"/>
            <wp:effectExtent l="0" t="0" r="0" b="0"/>
            <wp:docPr id="23" name="Image 23">
              <a:hlinkClick xmlns:a="http://schemas.openxmlformats.org/drawingml/2006/main" r:id="rId10"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10" tooltip="&quot;consulter le fond documentair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70" cy="122555"/>
                    </a:xfrm>
                    <a:prstGeom prst="rect">
                      <a:avLst/>
                    </a:prstGeom>
                    <a:noFill/>
                    <a:ln>
                      <a:noFill/>
                    </a:ln>
                  </pic:spPr>
                </pic:pic>
              </a:graphicData>
            </a:graphic>
          </wp:inline>
        </w:drawing>
      </w:r>
      <w:r w:rsidRPr="00757D3A">
        <w:rPr>
          <w:rFonts w:ascii="Times New Roman" w:eastAsia="Times New Roman" w:hAnsi="Times New Roman" w:cs="Times New Roman"/>
          <w:lang w:val="en-US" w:eastAsia="fr-FR"/>
        </w:rPr>
        <w:t>, note O. Schrameck </w:t>
      </w:r>
      <w:r w:rsidRPr="00EC5BB8">
        <w:rPr>
          <w:rFonts w:ascii="Times New Roman" w:eastAsia="Times New Roman" w:hAnsi="Times New Roman" w:cs="Times New Roman"/>
          <w:noProof/>
          <w:lang w:eastAsia="fr-FR"/>
        </w:rPr>
        <w:drawing>
          <wp:inline distT="0" distB="0" distL="0" distR="0" wp14:anchorId="7EB9828A" wp14:editId="2DD1DFB8">
            <wp:extent cx="115570" cy="122555"/>
            <wp:effectExtent l="0" t="0" r="0" b="0"/>
            <wp:docPr id="22" name="Image 22">
              <a:hlinkClick xmlns:a="http://schemas.openxmlformats.org/drawingml/2006/main" r:id="rId11"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11" tooltip="&quot;consulter le fond documentair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70" cy="122555"/>
                    </a:xfrm>
                    <a:prstGeom prst="rect">
                      <a:avLst/>
                    </a:prstGeom>
                    <a:noFill/>
                    <a:ln>
                      <a:noFill/>
                    </a:ln>
                  </pic:spPr>
                </pic:pic>
              </a:graphicData>
            </a:graphic>
          </wp:inline>
        </w:drawing>
      </w:r>
      <w:r w:rsidRPr="00757D3A">
        <w:rPr>
          <w:rFonts w:ascii="Times New Roman" w:eastAsia="Times New Roman" w:hAnsi="Times New Roman" w:cs="Times New Roman"/>
          <w:lang w:val="en-US" w:eastAsia="fr-FR"/>
        </w:rPr>
        <w:t> ; D. 1998. 156 </w:t>
      </w:r>
      <w:r w:rsidRPr="00EC5BB8">
        <w:rPr>
          <w:rFonts w:ascii="Times New Roman" w:eastAsia="Times New Roman" w:hAnsi="Times New Roman" w:cs="Times New Roman"/>
          <w:noProof/>
          <w:lang w:eastAsia="fr-FR"/>
        </w:rPr>
        <w:drawing>
          <wp:inline distT="0" distB="0" distL="0" distR="0" wp14:anchorId="67806BC9" wp14:editId="44B3E4F9">
            <wp:extent cx="115570" cy="122555"/>
            <wp:effectExtent l="0" t="0" r="0" b="0"/>
            <wp:docPr id="21" name="Image 21">
              <a:hlinkClick xmlns:a="http://schemas.openxmlformats.org/drawingml/2006/main" r:id="rId12"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12" tooltip="&quot;consulter le fond documentair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70" cy="122555"/>
                    </a:xfrm>
                    <a:prstGeom prst="rect">
                      <a:avLst/>
                    </a:prstGeom>
                    <a:noFill/>
                    <a:ln>
                      <a:noFill/>
                    </a:ln>
                  </pic:spPr>
                </pic:pic>
              </a:graphicData>
            </a:graphic>
          </wp:inline>
        </w:drawing>
      </w:r>
      <w:r w:rsidRPr="00757D3A">
        <w:rPr>
          <w:rFonts w:ascii="Times New Roman" w:eastAsia="Times New Roman" w:hAnsi="Times New Roman" w:cs="Times New Roman"/>
          <w:lang w:val="en-US" w:eastAsia="fr-FR"/>
        </w:rPr>
        <w:t xml:space="preserve">, obs. </w:t>
      </w:r>
      <w:r w:rsidRPr="00EC5BB8">
        <w:rPr>
          <w:rFonts w:ascii="Times New Roman" w:eastAsia="Times New Roman" w:hAnsi="Times New Roman" w:cs="Times New Roman"/>
          <w:lang w:eastAsia="fr-FR"/>
        </w:rPr>
        <w:t xml:space="preserve">J. </w:t>
      </w:r>
      <w:proofErr w:type="spellStart"/>
      <w:r w:rsidRPr="00EC5BB8">
        <w:rPr>
          <w:rFonts w:ascii="Times New Roman" w:eastAsia="Times New Roman" w:hAnsi="Times New Roman" w:cs="Times New Roman"/>
          <w:lang w:eastAsia="fr-FR"/>
        </w:rPr>
        <w:t>Trémeau</w:t>
      </w:r>
      <w:proofErr w:type="spellEnd"/>
      <w:r w:rsidRPr="00EC5BB8">
        <w:rPr>
          <w:rFonts w:ascii="Times New Roman" w:eastAsia="Times New Roman" w:hAnsi="Times New Roman" w:cs="Times New Roman"/>
          <w:lang w:eastAsia="fr-FR"/>
        </w:rPr>
        <w:t> </w:t>
      </w:r>
      <w:r w:rsidRPr="00EC5BB8">
        <w:rPr>
          <w:rFonts w:ascii="Times New Roman" w:eastAsia="Times New Roman" w:hAnsi="Times New Roman" w:cs="Times New Roman"/>
          <w:noProof/>
          <w:lang w:eastAsia="fr-FR"/>
        </w:rPr>
        <w:drawing>
          <wp:inline distT="0" distB="0" distL="0" distR="0" wp14:anchorId="4463EDF6" wp14:editId="48ACD779">
            <wp:extent cx="115570" cy="122555"/>
            <wp:effectExtent l="0" t="0" r="0" b="0"/>
            <wp:docPr id="20" name="Image 20">
              <a:hlinkClick xmlns:a="http://schemas.openxmlformats.org/drawingml/2006/main" r:id="rId13"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13" tooltip="&quot;consulter le fond documentair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70" cy="122555"/>
                    </a:xfrm>
                    <a:prstGeom prst="rect">
                      <a:avLst/>
                    </a:prstGeom>
                    <a:noFill/>
                    <a:ln>
                      <a:noFill/>
                    </a:ln>
                  </pic:spPr>
                </pic:pic>
              </a:graphicData>
            </a:graphic>
          </wp:inline>
        </w:drawing>
      </w:r>
      <w:r w:rsidRPr="00EC5BB8">
        <w:rPr>
          <w:rFonts w:ascii="Times New Roman" w:eastAsia="Times New Roman" w:hAnsi="Times New Roman" w:cs="Times New Roman"/>
          <w:lang w:eastAsia="fr-FR"/>
        </w:rPr>
        <w:t> ; </w:t>
      </w:r>
      <w:r w:rsidRPr="00EC5BB8">
        <w:rPr>
          <w:rFonts w:ascii="Times New Roman" w:eastAsia="Times New Roman" w:hAnsi="Times New Roman" w:cs="Times New Roman"/>
          <w:i/>
          <w:iCs/>
          <w:lang w:eastAsia="fr-FR"/>
        </w:rPr>
        <w:t>ibid</w:t>
      </w:r>
      <w:r w:rsidRPr="00EC5BB8">
        <w:rPr>
          <w:rFonts w:ascii="Times New Roman" w:eastAsia="Times New Roman" w:hAnsi="Times New Roman" w:cs="Times New Roman"/>
          <w:lang w:eastAsia="fr-FR"/>
        </w:rPr>
        <w:t>. 145, obs. J.-C. Car </w:t>
      </w:r>
      <w:r w:rsidRPr="00EC5BB8">
        <w:rPr>
          <w:rFonts w:ascii="Times New Roman" w:eastAsia="Times New Roman" w:hAnsi="Times New Roman" w:cs="Times New Roman"/>
          <w:noProof/>
          <w:lang w:eastAsia="fr-FR"/>
        </w:rPr>
        <w:drawing>
          <wp:inline distT="0" distB="0" distL="0" distR="0" wp14:anchorId="29D32662" wp14:editId="247446E2">
            <wp:extent cx="115570" cy="122555"/>
            <wp:effectExtent l="0" t="0" r="0" b="0"/>
            <wp:docPr id="19" name="Image 19">
              <a:hlinkClick xmlns:a="http://schemas.openxmlformats.org/drawingml/2006/main" r:id="rId14"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14" tooltip="&quot;consulter le fond documentair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70" cy="122555"/>
                    </a:xfrm>
                    <a:prstGeom prst="rect">
                      <a:avLst/>
                    </a:prstGeom>
                    <a:noFill/>
                    <a:ln>
                      <a:noFill/>
                    </a:ln>
                  </pic:spPr>
                </pic:pic>
              </a:graphicData>
            </a:graphic>
          </wp:inline>
        </w:drawing>
      </w:r>
      <w:r w:rsidRPr="00EC5BB8">
        <w:rPr>
          <w:rFonts w:ascii="Times New Roman" w:eastAsia="Times New Roman" w:hAnsi="Times New Roman" w:cs="Times New Roman"/>
          <w:lang w:eastAsia="fr-FR"/>
        </w:rPr>
        <w:t> ; </w:t>
      </w:r>
      <w:r w:rsidRPr="00EC5BB8">
        <w:rPr>
          <w:rFonts w:ascii="Times New Roman" w:eastAsia="Times New Roman" w:hAnsi="Times New Roman" w:cs="Times New Roman"/>
          <w:i/>
          <w:iCs/>
          <w:lang w:eastAsia="fr-FR"/>
        </w:rPr>
        <w:t>ibid</w:t>
      </w:r>
      <w:r w:rsidRPr="00EC5BB8">
        <w:rPr>
          <w:rFonts w:ascii="Times New Roman" w:eastAsia="Times New Roman" w:hAnsi="Times New Roman" w:cs="Times New Roman"/>
          <w:lang w:eastAsia="fr-FR"/>
        </w:rPr>
        <w:t>. 147, obs. A. Roux </w:t>
      </w:r>
      <w:r w:rsidRPr="00EC5BB8">
        <w:rPr>
          <w:rFonts w:ascii="Times New Roman" w:eastAsia="Times New Roman" w:hAnsi="Times New Roman" w:cs="Times New Roman"/>
          <w:noProof/>
          <w:lang w:eastAsia="fr-FR"/>
        </w:rPr>
        <w:drawing>
          <wp:inline distT="0" distB="0" distL="0" distR="0" wp14:anchorId="1BD0184E" wp14:editId="194137C3">
            <wp:extent cx="115570" cy="122555"/>
            <wp:effectExtent l="0" t="0" r="0" b="0"/>
            <wp:docPr id="18" name="Image 18">
              <a:hlinkClick xmlns:a="http://schemas.openxmlformats.org/drawingml/2006/main" r:id="rId15"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15" tooltip="&quot;consulter le fond documentair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70" cy="122555"/>
                    </a:xfrm>
                    <a:prstGeom prst="rect">
                      <a:avLst/>
                    </a:prstGeom>
                    <a:noFill/>
                    <a:ln>
                      <a:noFill/>
                    </a:ln>
                  </pic:spPr>
                </pic:pic>
              </a:graphicData>
            </a:graphic>
          </wp:inline>
        </w:drawing>
      </w:r>
      <w:r w:rsidRPr="00EC5BB8">
        <w:rPr>
          <w:rFonts w:ascii="Times New Roman" w:eastAsia="Times New Roman" w:hAnsi="Times New Roman" w:cs="Times New Roman"/>
          <w:lang w:eastAsia="fr-FR"/>
        </w:rPr>
        <w:t> ; </w:t>
      </w:r>
      <w:r w:rsidRPr="00EC5BB8">
        <w:rPr>
          <w:rFonts w:ascii="Times New Roman" w:eastAsia="Times New Roman" w:hAnsi="Times New Roman" w:cs="Times New Roman"/>
          <w:i/>
          <w:iCs/>
          <w:lang w:eastAsia="fr-FR"/>
        </w:rPr>
        <w:t>ibid</w:t>
      </w:r>
      <w:r w:rsidRPr="00EC5BB8">
        <w:rPr>
          <w:rFonts w:ascii="Times New Roman" w:eastAsia="Times New Roman" w:hAnsi="Times New Roman" w:cs="Times New Roman"/>
          <w:lang w:eastAsia="fr-FR"/>
        </w:rPr>
        <w:t>. 153, obs. T. S. Renoux </w:t>
      </w:r>
      <w:r w:rsidRPr="00EC5BB8">
        <w:rPr>
          <w:rFonts w:ascii="Times New Roman" w:eastAsia="Times New Roman" w:hAnsi="Times New Roman" w:cs="Times New Roman"/>
          <w:noProof/>
          <w:lang w:eastAsia="fr-FR"/>
        </w:rPr>
        <w:drawing>
          <wp:inline distT="0" distB="0" distL="0" distR="0" wp14:anchorId="7604FBFE" wp14:editId="38443C68">
            <wp:extent cx="115570" cy="122555"/>
            <wp:effectExtent l="0" t="0" r="0" b="0"/>
            <wp:docPr id="17" name="Image 17">
              <a:hlinkClick xmlns:a="http://schemas.openxmlformats.org/drawingml/2006/main" r:id="rId16"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16" tooltip="&quot;consulter le fond documentair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70" cy="122555"/>
                    </a:xfrm>
                    <a:prstGeom prst="rect">
                      <a:avLst/>
                    </a:prstGeom>
                    <a:noFill/>
                    <a:ln>
                      <a:noFill/>
                    </a:ln>
                  </pic:spPr>
                </pic:pic>
              </a:graphicData>
            </a:graphic>
          </wp:inline>
        </w:drawing>
      </w:r>
      <w:r w:rsidRPr="00EC5BB8">
        <w:rPr>
          <w:rFonts w:ascii="Times New Roman" w:eastAsia="Times New Roman" w:hAnsi="Times New Roman" w:cs="Times New Roman"/>
          <w:lang w:eastAsia="fr-FR"/>
        </w:rPr>
        <w:t> ; RFDA 1997. 1, étude F. Moderne </w:t>
      </w:r>
      <w:r w:rsidRPr="00EC5BB8">
        <w:rPr>
          <w:rFonts w:ascii="Times New Roman" w:eastAsia="Times New Roman" w:hAnsi="Times New Roman" w:cs="Times New Roman"/>
          <w:noProof/>
          <w:lang w:eastAsia="fr-FR"/>
        </w:rPr>
        <w:drawing>
          <wp:inline distT="0" distB="0" distL="0" distR="0" wp14:anchorId="2CCE2272" wp14:editId="7B0C3FE2">
            <wp:extent cx="115570" cy="122555"/>
            <wp:effectExtent l="0" t="0" r="0" b="0"/>
            <wp:docPr id="16" name="Image 16">
              <a:hlinkClick xmlns:a="http://schemas.openxmlformats.org/drawingml/2006/main" r:id="rId17"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17" tooltip="&quot;consulter le fond documentair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70" cy="122555"/>
                    </a:xfrm>
                    <a:prstGeom prst="rect">
                      <a:avLst/>
                    </a:prstGeom>
                    <a:noFill/>
                    <a:ln>
                      <a:noFill/>
                    </a:ln>
                  </pic:spPr>
                </pic:pic>
              </a:graphicData>
            </a:graphic>
          </wp:inline>
        </w:drawing>
      </w:r>
      <w:r w:rsidRPr="00EC5BB8">
        <w:rPr>
          <w:rFonts w:ascii="Times New Roman" w:eastAsia="Times New Roman" w:hAnsi="Times New Roman" w:cs="Times New Roman"/>
          <w:lang w:eastAsia="fr-FR"/>
        </w:rPr>
        <w:t> ; 26 juill. 1984, n° 84-172 DC</w:t>
      </w:r>
    </w:p>
  </w:footnote>
  <w:footnote w:id="9">
    <w:p w14:paraId="40BF1A45" w14:textId="49A74E97" w:rsidR="0024363A" w:rsidRPr="00EC5BB8" w:rsidRDefault="0024363A" w:rsidP="00EC5BB8">
      <w:pPr>
        <w:pStyle w:val="Notedebasdepage"/>
        <w:jc w:val="both"/>
        <w:rPr>
          <w:rFonts w:ascii="Times New Roman" w:hAnsi="Times New Roman" w:cs="Times New Roman"/>
        </w:rPr>
      </w:pPr>
      <w:r w:rsidRPr="00EC5BB8">
        <w:rPr>
          <w:rStyle w:val="Appelnotedebasdep"/>
          <w:rFonts w:ascii="Times New Roman" w:hAnsi="Times New Roman" w:cs="Times New Roman"/>
        </w:rPr>
        <w:footnoteRef/>
      </w:r>
      <w:r w:rsidRPr="00EC5BB8">
        <w:rPr>
          <w:rFonts w:ascii="Times New Roman" w:hAnsi="Times New Roman" w:cs="Times New Roman"/>
        </w:rPr>
        <w:t xml:space="preserve"> Cons. </w:t>
      </w:r>
      <w:proofErr w:type="spellStart"/>
      <w:proofErr w:type="gramStart"/>
      <w:r w:rsidRPr="00EC5BB8">
        <w:rPr>
          <w:rFonts w:ascii="Times New Roman" w:hAnsi="Times New Roman" w:cs="Times New Roman"/>
        </w:rPr>
        <w:t>const</w:t>
      </w:r>
      <w:proofErr w:type="spellEnd"/>
      <w:proofErr w:type="gramEnd"/>
      <w:r w:rsidRPr="00EC5BB8">
        <w:rPr>
          <w:rFonts w:ascii="Times New Roman" w:hAnsi="Times New Roman" w:cs="Times New Roman"/>
        </w:rPr>
        <w:t xml:space="preserve">. 16 janv. 1982, n° 81-132 DC, </w:t>
      </w:r>
      <w:proofErr w:type="gramStart"/>
      <w:r w:rsidRPr="00EC5BB8">
        <w:rPr>
          <w:rFonts w:ascii="Times New Roman" w:hAnsi="Times New Roman" w:cs="Times New Roman"/>
        </w:rPr>
        <w:t>§  16</w:t>
      </w:r>
      <w:proofErr w:type="gramEnd"/>
      <w:r w:rsidRPr="00EC5BB8">
        <w:rPr>
          <w:rFonts w:ascii="Times New Roman" w:hAnsi="Times New Roman" w:cs="Times New Roman"/>
        </w:rPr>
        <w:t> ;</w:t>
      </w:r>
    </w:p>
  </w:footnote>
  <w:footnote w:id="10">
    <w:p w14:paraId="430A9F23" w14:textId="38AD34C6" w:rsidR="00A836FA" w:rsidRPr="00EC5BB8" w:rsidRDefault="00A836FA" w:rsidP="00EC5BB8">
      <w:pPr>
        <w:pStyle w:val="Notedebasdepage"/>
        <w:jc w:val="both"/>
        <w:rPr>
          <w:rFonts w:ascii="Times New Roman" w:hAnsi="Times New Roman" w:cs="Times New Roman"/>
        </w:rPr>
      </w:pPr>
      <w:r w:rsidRPr="00EC5BB8">
        <w:rPr>
          <w:rStyle w:val="Appelnotedebasdep"/>
          <w:rFonts w:ascii="Times New Roman" w:hAnsi="Times New Roman" w:cs="Times New Roman"/>
        </w:rPr>
        <w:footnoteRef/>
      </w:r>
      <w:r w:rsidRPr="00EC5BB8">
        <w:rPr>
          <w:rFonts w:ascii="Times New Roman" w:hAnsi="Times New Roman" w:cs="Times New Roman"/>
        </w:rPr>
        <w:t xml:space="preserve"> Voir pour une illustration récente V. not. Cons. </w:t>
      </w:r>
      <w:proofErr w:type="spellStart"/>
      <w:proofErr w:type="gramStart"/>
      <w:r w:rsidRPr="00EC5BB8">
        <w:rPr>
          <w:rFonts w:ascii="Times New Roman" w:hAnsi="Times New Roman" w:cs="Times New Roman"/>
        </w:rPr>
        <w:t>const</w:t>
      </w:r>
      <w:proofErr w:type="spellEnd"/>
      <w:proofErr w:type="gramEnd"/>
      <w:r w:rsidRPr="00EC5BB8">
        <w:rPr>
          <w:rFonts w:ascii="Times New Roman" w:hAnsi="Times New Roman" w:cs="Times New Roman"/>
        </w:rPr>
        <w:t>. 27 sept. 2019, n° 2019-805 QPC</w:t>
      </w:r>
    </w:p>
  </w:footnote>
  <w:footnote w:id="11">
    <w:p w14:paraId="1BA3768A" w14:textId="33A65A10" w:rsidR="00FF2BAC" w:rsidRPr="00EC5BB8" w:rsidRDefault="00FF2BAC" w:rsidP="00EC5BB8">
      <w:pPr>
        <w:pStyle w:val="Notedebasdepage"/>
        <w:jc w:val="both"/>
        <w:rPr>
          <w:rFonts w:ascii="Times New Roman" w:hAnsi="Times New Roman" w:cs="Times New Roman"/>
        </w:rPr>
      </w:pPr>
      <w:r w:rsidRPr="00EC5BB8">
        <w:rPr>
          <w:rStyle w:val="Appelnotedebasdep"/>
          <w:rFonts w:ascii="Times New Roman" w:hAnsi="Times New Roman" w:cs="Times New Roman"/>
        </w:rPr>
        <w:footnoteRef/>
      </w:r>
      <w:r w:rsidRPr="00EC5BB8">
        <w:rPr>
          <w:rFonts w:ascii="Times New Roman" w:hAnsi="Times New Roman" w:cs="Times New Roman"/>
        </w:rPr>
        <w:t xml:space="preserve"> Cons. </w:t>
      </w:r>
      <w:proofErr w:type="spellStart"/>
      <w:proofErr w:type="gramStart"/>
      <w:r w:rsidRPr="00EC5BB8">
        <w:rPr>
          <w:rFonts w:ascii="Times New Roman" w:hAnsi="Times New Roman" w:cs="Times New Roman"/>
        </w:rPr>
        <w:t>const</w:t>
      </w:r>
      <w:proofErr w:type="spellEnd"/>
      <w:proofErr w:type="gramEnd"/>
      <w:r w:rsidRPr="00EC5BB8">
        <w:rPr>
          <w:rFonts w:ascii="Times New Roman" w:hAnsi="Times New Roman" w:cs="Times New Roman"/>
        </w:rPr>
        <w:t xml:space="preserve">. 16 janv. 1982, op. </w:t>
      </w:r>
      <w:proofErr w:type="spellStart"/>
      <w:proofErr w:type="gramStart"/>
      <w:r w:rsidRPr="00EC5BB8">
        <w:rPr>
          <w:rFonts w:ascii="Times New Roman" w:hAnsi="Times New Roman" w:cs="Times New Roman"/>
        </w:rPr>
        <w:t>cit</w:t>
      </w:r>
      <w:proofErr w:type="spellEnd"/>
      <w:proofErr w:type="gramEnd"/>
      <w:r w:rsidRPr="00EC5BB8">
        <w:rPr>
          <w:rFonts w:ascii="Times New Roman" w:hAnsi="Times New Roman" w:cs="Times New Roman"/>
        </w:rPr>
        <w:t>., § 44 et 46</w:t>
      </w:r>
    </w:p>
  </w:footnote>
  <w:footnote w:id="12">
    <w:p w14:paraId="61087DF3" w14:textId="5B44A1CA" w:rsidR="00357C04" w:rsidRDefault="00357C04" w:rsidP="00EC5BB8">
      <w:pPr>
        <w:pStyle w:val="Notedebasdepage"/>
        <w:jc w:val="both"/>
      </w:pPr>
      <w:r w:rsidRPr="00EC5BB8">
        <w:rPr>
          <w:rStyle w:val="Appelnotedebasdep"/>
          <w:rFonts w:ascii="Times New Roman" w:hAnsi="Times New Roman" w:cs="Times New Roman"/>
        </w:rPr>
        <w:footnoteRef/>
      </w:r>
      <w:r w:rsidRPr="00EC5BB8">
        <w:rPr>
          <w:rFonts w:ascii="Times New Roman" w:hAnsi="Times New Roman" w:cs="Times New Roman"/>
        </w:rPr>
        <w:t xml:space="preserve"> V pour une première application de ce contrôle Cons. </w:t>
      </w:r>
      <w:proofErr w:type="gramStart"/>
      <w:r w:rsidRPr="00EC5BB8">
        <w:rPr>
          <w:rFonts w:ascii="Times New Roman" w:hAnsi="Times New Roman" w:cs="Times New Roman"/>
        </w:rPr>
        <w:t>const</w:t>
      </w:r>
      <w:proofErr w:type="gramEnd"/>
      <w:r w:rsidRPr="00EC5BB8">
        <w:rPr>
          <w:rFonts w:ascii="Times New Roman" w:hAnsi="Times New Roman" w:cs="Times New Roman"/>
        </w:rPr>
        <w:t>.17 juill. 1985, n° 85-189</w:t>
      </w:r>
      <w:r w:rsidR="00880FAE" w:rsidRPr="00EC5BB8">
        <w:rPr>
          <w:rFonts w:ascii="Times New Roman" w:hAnsi="Times New Roman" w:cs="Times New Roman"/>
        </w:rPr>
        <w:t xml:space="preserve"> et pour une application plus récente : Cons. </w:t>
      </w:r>
      <w:proofErr w:type="spellStart"/>
      <w:proofErr w:type="gramStart"/>
      <w:r w:rsidR="00880FAE" w:rsidRPr="00EC5BB8">
        <w:rPr>
          <w:rFonts w:ascii="Times New Roman" w:hAnsi="Times New Roman" w:cs="Times New Roman"/>
        </w:rPr>
        <w:t>const</w:t>
      </w:r>
      <w:proofErr w:type="spellEnd"/>
      <w:proofErr w:type="gramEnd"/>
      <w:r w:rsidR="00880FAE" w:rsidRPr="00EC5BB8">
        <w:rPr>
          <w:rFonts w:ascii="Times New Roman" w:hAnsi="Times New Roman" w:cs="Times New Roman"/>
        </w:rPr>
        <w:t>. 5 mars 2021, n° 2020-887 QPC</w:t>
      </w:r>
    </w:p>
  </w:footnote>
  <w:footnote w:id="13">
    <w:p w14:paraId="69730D06" w14:textId="7A7084DF" w:rsidR="00BF30E8" w:rsidRPr="00EC5BB8" w:rsidRDefault="00BF30E8" w:rsidP="00BF30E8">
      <w:pPr>
        <w:shd w:val="clear" w:color="auto" w:fill="FFFFFF"/>
        <w:spacing w:after="0" w:line="240" w:lineRule="auto"/>
        <w:jc w:val="both"/>
        <w:rPr>
          <w:rFonts w:ascii="Times New Roman" w:eastAsia="Times New Roman" w:hAnsi="Times New Roman" w:cs="Times New Roman"/>
          <w:sz w:val="20"/>
          <w:szCs w:val="20"/>
          <w:lang w:eastAsia="fr-FR"/>
        </w:rPr>
      </w:pPr>
      <w:r w:rsidRPr="00EC5BB8">
        <w:rPr>
          <w:rStyle w:val="Appelnotedebasdep"/>
          <w:rFonts w:ascii="Times New Roman" w:hAnsi="Times New Roman" w:cs="Times New Roman"/>
          <w:sz w:val="20"/>
          <w:szCs w:val="20"/>
        </w:rPr>
        <w:footnoteRef/>
      </w:r>
      <w:r w:rsidRPr="00EC5BB8">
        <w:rPr>
          <w:rFonts w:ascii="Times New Roman" w:hAnsi="Times New Roman" w:cs="Times New Roman"/>
          <w:sz w:val="20"/>
          <w:szCs w:val="20"/>
        </w:rPr>
        <w:t xml:space="preserve"> </w:t>
      </w:r>
      <w:r>
        <w:rPr>
          <w:rFonts w:ascii="Times New Roman" w:eastAsia="Times New Roman" w:hAnsi="Times New Roman" w:cs="Times New Roman"/>
          <w:sz w:val="20"/>
          <w:szCs w:val="20"/>
          <w:lang w:eastAsia="fr-FR"/>
        </w:rPr>
        <w:t xml:space="preserve">Sur ces limitations à l’atteinte portée au droit de propriété, v. M. </w:t>
      </w:r>
      <w:proofErr w:type="spellStart"/>
      <w:r>
        <w:rPr>
          <w:rFonts w:ascii="Times New Roman" w:eastAsia="Times New Roman" w:hAnsi="Times New Roman" w:cs="Times New Roman"/>
          <w:sz w:val="20"/>
          <w:szCs w:val="20"/>
          <w:lang w:eastAsia="fr-FR"/>
        </w:rPr>
        <w:t>Cottetle</w:t>
      </w:r>
      <w:proofErr w:type="spellEnd"/>
      <w:r>
        <w:rPr>
          <w:rFonts w:ascii="Times New Roman" w:eastAsia="Times New Roman" w:hAnsi="Times New Roman" w:cs="Times New Roman"/>
          <w:sz w:val="20"/>
          <w:szCs w:val="20"/>
          <w:lang w:eastAsia="fr-FR"/>
        </w:rPr>
        <w:t xml:space="preserve">, </w:t>
      </w:r>
      <w:r w:rsidR="001268EF">
        <w:rPr>
          <w:rFonts w:ascii="Times New Roman" w:eastAsia="Times New Roman" w:hAnsi="Times New Roman" w:cs="Times New Roman"/>
          <w:sz w:val="20"/>
          <w:szCs w:val="20"/>
          <w:lang w:eastAsia="fr-FR"/>
        </w:rPr>
        <w:t>« </w:t>
      </w:r>
      <w:r w:rsidRPr="00BF30E8">
        <w:rPr>
          <w:rFonts w:ascii="Times New Roman" w:eastAsia="Times New Roman" w:hAnsi="Times New Roman" w:cs="Times New Roman"/>
          <w:sz w:val="20"/>
          <w:szCs w:val="20"/>
          <w:lang w:eastAsia="fr-FR"/>
        </w:rPr>
        <w:t>Qui dit âgé ne dit pas nécessairement vulnérable</w:t>
      </w:r>
      <w:r w:rsidR="001268EF">
        <w:rPr>
          <w:rFonts w:ascii="Times New Roman" w:eastAsia="Times New Roman" w:hAnsi="Times New Roman" w:cs="Times New Roman"/>
          <w:sz w:val="20"/>
          <w:szCs w:val="20"/>
          <w:lang w:eastAsia="fr-FR"/>
        </w:rPr>
        <w:t> »</w:t>
      </w:r>
      <w:r>
        <w:rPr>
          <w:rFonts w:ascii="Times New Roman" w:eastAsia="Times New Roman" w:hAnsi="Times New Roman" w:cs="Times New Roman"/>
          <w:sz w:val="20"/>
          <w:szCs w:val="20"/>
          <w:lang w:eastAsia="fr-FR"/>
        </w:rPr>
        <w:t xml:space="preserve">. </w:t>
      </w:r>
    </w:p>
    <w:p w14:paraId="7DC783BB" w14:textId="77777777" w:rsidR="00BF30E8" w:rsidRDefault="00BF30E8" w:rsidP="00BF30E8">
      <w:pPr>
        <w:pStyle w:val="Notedebasdepage"/>
      </w:pPr>
    </w:p>
  </w:footnote>
  <w:footnote w:id="14">
    <w:p w14:paraId="4A1CDACA" w14:textId="786C44A4" w:rsidR="00CE3AB6" w:rsidRPr="00A249BB" w:rsidRDefault="00CE3AB6" w:rsidP="00A249BB">
      <w:pPr>
        <w:shd w:val="clear" w:color="auto" w:fill="FFFFFF"/>
        <w:spacing w:after="0" w:line="240" w:lineRule="auto"/>
        <w:jc w:val="both"/>
        <w:rPr>
          <w:rFonts w:ascii="Times New Roman" w:eastAsia="Times New Roman" w:hAnsi="Times New Roman" w:cs="Times New Roman"/>
          <w:sz w:val="20"/>
          <w:szCs w:val="20"/>
          <w:lang w:eastAsia="fr-FR"/>
        </w:rPr>
      </w:pPr>
      <w:r w:rsidRPr="00A249BB">
        <w:rPr>
          <w:rStyle w:val="Appelnotedebasdep"/>
          <w:rFonts w:ascii="Times New Roman" w:hAnsi="Times New Roman" w:cs="Times New Roman"/>
        </w:rPr>
        <w:footnoteRef/>
      </w:r>
      <w:r w:rsidRPr="00A249BB">
        <w:rPr>
          <w:rFonts w:ascii="Times New Roman" w:hAnsi="Times New Roman" w:cs="Times New Roman"/>
        </w:rPr>
        <w:t xml:space="preserve"> </w:t>
      </w:r>
      <w:r w:rsidR="00A249BB">
        <w:rPr>
          <w:rFonts w:ascii="Times New Roman" w:eastAsia="Times New Roman" w:hAnsi="Times New Roman" w:cs="Times New Roman"/>
          <w:sz w:val="20"/>
          <w:szCs w:val="20"/>
          <w:lang w:eastAsia="fr-FR"/>
        </w:rPr>
        <w:t xml:space="preserve">M. </w:t>
      </w:r>
      <w:proofErr w:type="spellStart"/>
      <w:r w:rsidR="00A249BB">
        <w:rPr>
          <w:rFonts w:ascii="Times New Roman" w:eastAsia="Times New Roman" w:hAnsi="Times New Roman" w:cs="Times New Roman"/>
          <w:sz w:val="20"/>
          <w:szCs w:val="20"/>
          <w:lang w:eastAsia="fr-FR"/>
        </w:rPr>
        <w:t>Cottetle</w:t>
      </w:r>
      <w:proofErr w:type="spellEnd"/>
      <w:r w:rsidR="00A249BB">
        <w:rPr>
          <w:rFonts w:ascii="Times New Roman" w:eastAsia="Times New Roman" w:hAnsi="Times New Roman" w:cs="Times New Roman"/>
          <w:sz w:val="20"/>
          <w:szCs w:val="20"/>
          <w:lang w:eastAsia="fr-FR"/>
        </w:rPr>
        <w:t>, « </w:t>
      </w:r>
      <w:r w:rsidR="00A249BB" w:rsidRPr="00BF30E8">
        <w:rPr>
          <w:rFonts w:ascii="Times New Roman" w:eastAsia="Times New Roman" w:hAnsi="Times New Roman" w:cs="Times New Roman"/>
          <w:sz w:val="20"/>
          <w:szCs w:val="20"/>
          <w:lang w:eastAsia="fr-FR"/>
        </w:rPr>
        <w:t>Qui dit âgé ne dit pas nécessairement vulnérable</w:t>
      </w:r>
      <w:r w:rsidR="00A249BB">
        <w:rPr>
          <w:rFonts w:ascii="Times New Roman" w:eastAsia="Times New Roman" w:hAnsi="Times New Roman" w:cs="Times New Roman"/>
          <w:sz w:val="20"/>
          <w:szCs w:val="20"/>
          <w:lang w:eastAsia="fr-FR"/>
        </w:rPr>
        <w:t xml:space="preserve"> ». </w:t>
      </w:r>
    </w:p>
  </w:footnote>
  <w:footnote w:id="15">
    <w:p w14:paraId="4564913A" w14:textId="3D3849B6" w:rsidR="00EC5BB8" w:rsidRPr="00A249BB" w:rsidRDefault="00EC5BB8" w:rsidP="00A249BB">
      <w:pPr>
        <w:pStyle w:val="Notedebasdepage"/>
        <w:jc w:val="both"/>
        <w:rPr>
          <w:rFonts w:ascii="Times New Roman" w:hAnsi="Times New Roman" w:cs="Times New Roman"/>
        </w:rPr>
      </w:pPr>
      <w:r w:rsidRPr="00A249BB">
        <w:rPr>
          <w:rStyle w:val="Appelnotedebasdep"/>
          <w:rFonts w:ascii="Times New Roman" w:hAnsi="Times New Roman" w:cs="Times New Roman"/>
        </w:rPr>
        <w:footnoteRef/>
      </w:r>
      <w:r w:rsidRPr="00A249BB">
        <w:rPr>
          <w:rFonts w:ascii="Times New Roman" w:hAnsi="Times New Roman" w:cs="Times New Roman"/>
        </w:rPr>
        <w:t xml:space="preserve"> </w:t>
      </w:r>
      <w:r w:rsidR="00A249BB">
        <w:rPr>
          <w:rFonts w:ascii="Times New Roman" w:hAnsi="Times New Roman" w:cs="Times New Roman"/>
        </w:rPr>
        <w:t xml:space="preserve">D. </w:t>
      </w:r>
      <w:proofErr w:type="spellStart"/>
      <w:r w:rsidR="00A249BB">
        <w:rPr>
          <w:rFonts w:ascii="Times New Roman" w:hAnsi="Times New Roman" w:cs="Times New Roman"/>
        </w:rPr>
        <w:t>Nogero</w:t>
      </w:r>
      <w:proofErr w:type="spellEnd"/>
      <w:r w:rsidR="00A249BB">
        <w:rPr>
          <w:rFonts w:ascii="Times New Roman" w:hAnsi="Times New Roman" w:cs="Times New Roman"/>
        </w:rPr>
        <w:t>, « </w:t>
      </w:r>
      <w:r w:rsidR="00A249BB" w:rsidRPr="007563EB">
        <w:rPr>
          <w:rFonts w:ascii="Times New Roman" w:hAnsi="Times New Roman" w:cs="Times New Roman"/>
        </w:rPr>
        <w:t>Incapacité de recevoir une libéralité, atteinte au droit de disposer librement du patrimoine, vulnérabilité, et inconstitutionnalité de l’article L. 116-4, I, du Code de l’action sociale et des familles</w:t>
      </w:r>
      <w:r w:rsidR="00A249BB">
        <w:rPr>
          <w:rFonts w:ascii="Times New Roman" w:hAnsi="Times New Roman" w:cs="Times New Roman"/>
        </w:rPr>
        <w:t xml:space="preserve"> ». </w:t>
      </w:r>
    </w:p>
  </w:footnote>
  <w:footnote w:id="16">
    <w:p w14:paraId="0700A6D7" w14:textId="77777777" w:rsidR="005435B9" w:rsidRPr="00EC5BB8" w:rsidRDefault="005435B9" w:rsidP="005435B9">
      <w:pPr>
        <w:pStyle w:val="Notedebasdepage"/>
        <w:jc w:val="both"/>
        <w:rPr>
          <w:rFonts w:ascii="Times New Roman" w:hAnsi="Times New Roman" w:cs="Times New Roman"/>
        </w:rPr>
      </w:pPr>
      <w:r w:rsidRPr="00EC5BB8">
        <w:rPr>
          <w:rStyle w:val="Appelnotedebasdep"/>
          <w:rFonts w:ascii="Times New Roman" w:hAnsi="Times New Roman" w:cs="Times New Roman"/>
        </w:rPr>
        <w:footnoteRef/>
      </w:r>
      <w:r w:rsidRPr="00EC5BB8">
        <w:rPr>
          <w:rFonts w:ascii="Times New Roman" w:hAnsi="Times New Roman" w:cs="Times New Roman"/>
        </w:rPr>
        <w:t xml:space="preserve"> J.L. DESHAIES, </w:t>
      </w:r>
      <w:r w:rsidRPr="00EC5BB8">
        <w:rPr>
          <w:rFonts w:ascii="Times New Roman" w:hAnsi="Times New Roman" w:cs="Times New Roman"/>
          <w:i/>
          <w:iCs/>
        </w:rPr>
        <w:t>Stratégies et management briser l’omerta ! : un enjeu pour les établissements sanitaires, sociaux et médicaux-sociaux</w:t>
      </w:r>
      <w:r w:rsidRPr="00EC5BB8">
        <w:rPr>
          <w:rFonts w:ascii="Times New Roman" w:hAnsi="Times New Roman" w:cs="Times New Roman"/>
        </w:rPr>
        <w:t>, Ed. EHESP, 2014.</w:t>
      </w:r>
    </w:p>
  </w:footnote>
  <w:footnote w:id="17">
    <w:p w14:paraId="3F0D2906" w14:textId="77777777" w:rsidR="005435B9" w:rsidRDefault="005435B9" w:rsidP="005435B9">
      <w:pPr>
        <w:pStyle w:val="Notedebasdepage"/>
        <w:jc w:val="both"/>
      </w:pPr>
      <w:r w:rsidRPr="00EC5BB8">
        <w:rPr>
          <w:rStyle w:val="Appelnotedebasdep"/>
          <w:rFonts w:ascii="Times New Roman" w:hAnsi="Times New Roman" w:cs="Times New Roman"/>
        </w:rPr>
        <w:footnoteRef/>
      </w:r>
      <w:r w:rsidRPr="00EC5BB8">
        <w:rPr>
          <w:rFonts w:ascii="Times New Roman" w:hAnsi="Times New Roman" w:cs="Times New Roman"/>
        </w:rPr>
        <w:t xml:space="preserve"> S. DISQUAY-PEROT et A. EGIDO-PORTELA, « La disposition au silence chez les aides à domicile : souffrance invisible et contrainte à la prévention de soi », in </w:t>
      </w:r>
      <w:r w:rsidRPr="00EC5BB8">
        <w:rPr>
          <w:rFonts w:ascii="Times New Roman" w:hAnsi="Times New Roman" w:cs="Times New Roman"/>
          <w:i/>
          <w:iCs/>
        </w:rPr>
        <w:t>Les non-dits de la maladie et de la souffrance</w:t>
      </w:r>
      <w:r w:rsidRPr="00EC5BB8">
        <w:rPr>
          <w:rFonts w:ascii="Times New Roman" w:hAnsi="Times New Roman" w:cs="Times New Roman"/>
        </w:rPr>
        <w:t xml:space="preserve">, </w:t>
      </w:r>
      <w:proofErr w:type="spellStart"/>
      <w:r w:rsidRPr="00EC5BB8">
        <w:rPr>
          <w:rFonts w:ascii="Times New Roman" w:hAnsi="Times New Roman" w:cs="Times New Roman"/>
        </w:rPr>
        <w:t>ss</w:t>
      </w:r>
      <w:proofErr w:type="spellEnd"/>
      <w:r w:rsidRPr="00EC5BB8">
        <w:rPr>
          <w:rFonts w:ascii="Times New Roman" w:hAnsi="Times New Roman" w:cs="Times New Roman"/>
        </w:rPr>
        <w:t xml:space="preserve"> la </w:t>
      </w:r>
      <w:proofErr w:type="spellStart"/>
      <w:r w:rsidRPr="00EC5BB8">
        <w:rPr>
          <w:rFonts w:ascii="Times New Roman" w:hAnsi="Times New Roman" w:cs="Times New Roman"/>
        </w:rPr>
        <w:t>dir</w:t>
      </w:r>
      <w:proofErr w:type="spellEnd"/>
      <w:r w:rsidRPr="00EC5BB8">
        <w:rPr>
          <w:rFonts w:ascii="Times New Roman" w:hAnsi="Times New Roman" w:cs="Times New Roman"/>
        </w:rPr>
        <w:t>. De M.-Ch. MONNOYER et V. WALBURG, coll. Humanités, 2021, p. 128.</w:t>
      </w:r>
      <w:r w:rsidRPr="00EC5BB8">
        <w:t xml:space="preserve"> </w:t>
      </w:r>
    </w:p>
  </w:footnote>
  <w:footnote w:id="18">
    <w:p w14:paraId="76EB9761" w14:textId="77777777" w:rsidR="005435B9" w:rsidRDefault="005435B9" w:rsidP="005435B9">
      <w:pPr>
        <w:pStyle w:val="Notedebasdepage"/>
      </w:pPr>
      <w:r>
        <w:rPr>
          <w:rStyle w:val="Appelnotedebasdep"/>
        </w:rPr>
        <w:footnoteRef/>
      </w:r>
      <w:r>
        <w:t xml:space="preserve"> </w:t>
      </w:r>
      <w:r>
        <w:rPr>
          <w:rFonts w:ascii="Times New Roman" w:hAnsi="Times New Roman" w:cs="Times New Roman"/>
        </w:rPr>
        <w:t>(</w:t>
      </w:r>
      <w:proofErr w:type="spellStart"/>
      <w:r>
        <w:rPr>
          <w:rFonts w:ascii="Times New Roman" w:hAnsi="Times New Roman" w:cs="Times New Roman"/>
        </w:rPr>
        <w:t>Laudato</w:t>
      </w:r>
      <w:proofErr w:type="spellEnd"/>
      <w:r>
        <w:rPr>
          <w:rFonts w:ascii="Times New Roman" w:hAnsi="Times New Roman" w:cs="Times New Roman"/>
        </w:rPr>
        <w:t xml:space="preserve"> Si, §124). </w:t>
      </w:r>
    </w:p>
  </w:footnote>
  <w:footnote w:id="19">
    <w:p w14:paraId="486EC9E9" w14:textId="77777777" w:rsidR="00C355DB" w:rsidRPr="00421727" w:rsidRDefault="00C355DB" w:rsidP="00C355DB">
      <w:pPr>
        <w:pStyle w:val="Notedebasdepage"/>
        <w:jc w:val="both"/>
        <w:rPr>
          <w:rFonts w:ascii="Times New Roman" w:hAnsi="Times New Roman" w:cs="Times New Roman"/>
        </w:rPr>
      </w:pPr>
      <w:r w:rsidRPr="00421727">
        <w:rPr>
          <w:rStyle w:val="Appelnotedebasdep"/>
          <w:rFonts w:ascii="Times New Roman" w:hAnsi="Times New Roman" w:cs="Times New Roman"/>
        </w:rPr>
        <w:footnoteRef/>
      </w:r>
      <w:r w:rsidRPr="00421727">
        <w:rPr>
          <w:rFonts w:ascii="Times New Roman" w:hAnsi="Times New Roman" w:cs="Times New Roman"/>
        </w:rPr>
        <w:t xml:space="preserve"> </w:t>
      </w:r>
      <w:proofErr w:type="gramStart"/>
      <w:r w:rsidRPr="00421727">
        <w:rPr>
          <w:rFonts w:ascii="Times New Roman" w:hAnsi="Times New Roman" w:cs="Times New Roman"/>
        </w:rPr>
        <w:t>le</w:t>
      </w:r>
      <w:proofErr w:type="gramEnd"/>
      <w:r w:rsidRPr="00421727">
        <w:rPr>
          <w:rFonts w:ascii="Times New Roman" w:hAnsi="Times New Roman" w:cs="Times New Roman"/>
        </w:rPr>
        <w:t xml:space="preserve"> grand âge ne saurait signifier automatiquement l’inaptitude à consentir.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EA"/>
    <w:rsid w:val="0000704C"/>
    <w:rsid w:val="00033771"/>
    <w:rsid w:val="000349E9"/>
    <w:rsid w:val="00052A46"/>
    <w:rsid w:val="00095CC9"/>
    <w:rsid w:val="000D0064"/>
    <w:rsid w:val="001073FA"/>
    <w:rsid w:val="00121565"/>
    <w:rsid w:val="001268EF"/>
    <w:rsid w:val="00130583"/>
    <w:rsid w:val="00144CD9"/>
    <w:rsid w:val="00155BD3"/>
    <w:rsid w:val="0018782D"/>
    <w:rsid w:val="00207FA7"/>
    <w:rsid w:val="00212713"/>
    <w:rsid w:val="00236D28"/>
    <w:rsid w:val="0024363A"/>
    <w:rsid w:val="002808A9"/>
    <w:rsid w:val="0028228B"/>
    <w:rsid w:val="002A1EFB"/>
    <w:rsid w:val="002C3718"/>
    <w:rsid w:val="002C4CD1"/>
    <w:rsid w:val="002D37F6"/>
    <w:rsid w:val="002E541E"/>
    <w:rsid w:val="002E5682"/>
    <w:rsid w:val="002F21DD"/>
    <w:rsid w:val="00300FF7"/>
    <w:rsid w:val="0032447A"/>
    <w:rsid w:val="00357C04"/>
    <w:rsid w:val="00365D2A"/>
    <w:rsid w:val="00365FF2"/>
    <w:rsid w:val="00371422"/>
    <w:rsid w:val="003C4CA1"/>
    <w:rsid w:val="003F2389"/>
    <w:rsid w:val="00406E02"/>
    <w:rsid w:val="00421727"/>
    <w:rsid w:val="00425E4A"/>
    <w:rsid w:val="004C3C2D"/>
    <w:rsid w:val="004D643F"/>
    <w:rsid w:val="004E4341"/>
    <w:rsid w:val="004F2909"/>
    <w:rsid w:val="004F4ACF"/>
    <w:rsid w:val="004F7066"/>
    <w:rsid w:val="005028E9"/>
    <w:rsid w:val="00511C66"/>
    <w:rsid w:val="00532811"/>
    <w:rsid w:val="005435B9"/>
    <w:rsid w:val="00554217"/>
    <w:rsid w:val="00556068"/>
    <w:rsid w:val="00571BE6"/>
    <w:rsid w:val="00572124"/>
    <w:rsid w:val="00583DE6"/>
    <w:rsid w:val="00591949"/>
    <w:rsid w:val="005A09A1"/>
    <w:rsid w:val="005B2C99"/>
    <w:rsid w:val="005B66E0"/>
    <w:rsid w:val="006349E6"/>
    <w:rsid w:val="00645A31"/>
    <w:rsid w:val="00650D3C"/>
    <w:rsid w:val="006C1636"/>
    <w:rsid w:val="006D1ED0"/>
    <w:rsid w:val="006D394F"/>
    <w:rsid w:val="006F3CFD"/>
    <w:rsid w:val="00721499"/>
    <w:rsid w:val="007278B0"/>
    <w:rsid w:val="007563EB"/>
    <w:rsid w:val="00757D3A"/>
    <w:rsid w:val="00787552"/>
    <w:rsid w:val="00790B74"/>
    <w:rsid w:val="00806CE0"/>
    <w:rsid w:val="00880FAE"/>
    <w:rsid w:val="008C322C"/>
    <w:rsid w:val="008E3B54"/>
    <w:rsid w:val="00930B86"/>
    <w:rsid w:val="00960082"/>
    <w:rsid w:val="00970D12"/>
    <w:rsid w:val="009765B8"/>
    <w:rsid w:val="009B2561"/>
    <w:rsid w:val="009D4658"/>
    <w:rsid w:val="009F2636"/>
    <w:rsid w:val="009F568B"/>
    <w:rsid w:val="00A249BB"/>
    <w:rsid w:val="00A3759B"/>
    <w:rsid w:val="00A573BB"/>
    <w:rsid w:val="00A82A34"/>
    <w:rsid w:val="00A836FA"/>
    <w:rsid w:val="00AA0FF7"/>
    <w:rsid w:val="00AA2CBC"/>
    <w:rsid w:val="00AE031B"/>
    <w:rsid w:val="00B55659"/>
    <w:rsid w:val="00B671F0"/>
    <w:rsid w:val="00B730A5"/>
    <w:rsid w:val="00B94D15"/>
    <w:rsid w:val="00BB15EA"/>
    <w:rsid w:val="00BF30E8"/>
    <w:rsid w:val="00C06FB2"/>
    <w:rsid w:val="00C2161F"/>
    <w:rsid w:val="00C27EAA"/>
    <w:rsid w:val="00C355DB"/>
    <w:rsid w:val="00C36B8F"/>
    <w:rsid w:val="00C374F5"/>
    <w:rsid w:val="00C53271"/>
    <w:rsid w:val="00C778AD"/>
    <w:rsid w:val="00CE3AB6"/>
    <w:rsid w:val="00D22B78"/>
    <w:rsid w:val="00D246F1"/>
    <w:rsid w:val="00D66C4D"/>
    <w:rsid w:val="00D93D5B"/>
    <w:rsid w:val="00DA08AC"/>
    <w:rsid w:val="00DB3835"/>
    <w:rsid w:val="00DB7297"/>
    <w:rsid w:val="00DD0985"/>
    <w:rsid w:val="00DF5815"/>
    <w:rsid w:val="00E06E46"/>
    <w:rsid w:val="00E203ED"/>
    <w:rsid w:val="00E45EB6"/>
    <w:rsid w:val="00E6149C"/>
    <w:rsid w:val="00EA41C3"/>
    <w:rsid w:val="00EA708B"/>
    <w:rsid w:val="00EC559A"/>
    <w:rsid w:val="00EC5BB8"/>
    <w:rsid w:val="00F253A5"/>
    <w:rsid w:val="00FF2B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79ED"/>
  <w15:chartTrackingRefBased/>
  <w15:docId w15:val="{F68E931D-868E-4488-A7F3-9A780088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4F4A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C532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link w:val="Titre4Car"/>
    <w:uiPriority w:val="9"/>
    <w:qFormat/>
    <w:rsid w:val="004F4AC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D37F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D37F6"/>
    <w:rPr>
      <w:sz w:val="20"/>
      <w:szCs w:val="20"/>
    </w:rPr>
  </w:style>
  <w:style w:type="character" w:styleId="Appelnotedebasdep">
    <w:name w:val="footnote reference"/>
    <w:basedOn w:val="Policepardfaut"/>
    <w:uiPriority w:val="99"/>
    <w:semiHidden/>
    <w:unhideWhenUsed/>
    <w:rsid w:val="002D37F6"/>
    <w:rPr>
      <w:vertAlign w:val="superscript"/>
    </w:rPr>
  </w:style>
  <w:style w:type="paragraph" w:styleId="En-tte">
    <w:name w:val="header"/>
    <w:basedOn w:val="Normal"/>
    <w:link w:val="En-tteCar"/>
    <w:uiPriority w:val="99"/>
    <w:unhideWhenUsed/>
    <w:rsid w:val="00212713"/>
    <w:pPr>
      <w:tabs>
        <w:tab w:val="center" w:pos="4536"/>
        <w:tab w:val="right" w:pos="9072"/>
      </w:tabs>
      <w:spacing w:after="0" w:line="240" w:lineRule="auto"/>
    </w:pPr>
  </w:style>
  <w:style w:type="character" w:customStyle="1" w:styleId="En-tteCar">
    <w:name w:val="En-tête Car"/>
    <w:basedOn w:val="Policepardfaut"/>
    <w:link w:val="En-tte"/>
    <w:uiPriority w:val="99"/>
    <w:rsid w:val="00212713"/>
  </w:style>
  <w:style w:type="paragraph" w:styleId="Pieddepage">
    <w:name w:val="footer"/>
    <w:basedOn w:val="Normal"/>
    <w:link w:val="PieddepageCar"/>
    <w:uiPriority w:val="99"/>
    <w:unhideWhenUsed/>
    <w:rsid w:val="002127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2713"/>
  </w:style>
  <w:style w:type="character" w:customStyle="1" w:styleId="Titre1Car">
    <w:name w:val="Titre 1 Car"/>
    <w:basedOn w:val="Policepardfaut"/>
    <w:link w:val="Titre1"/>
    <w:uiPriority w:val="9"/>
    <w:rsid w:val="004F4ACF"/>
    <w:rPr>
      <w:rFonts w:ascii="Times New Roman" w:eastAsia="Times New Roman" w:hAnsi="Times New Roman" w:cs="Times New Roman"/>
      <w:b/>
      <w:bCs/>
      <w:kern w:val="36"/>
      <w:sz w:val="48"/>
      <w:szCs w:val="48"/>
      <w:lang w:eastAsia="fr-FR"/>
    </w:rPr>
  </w:style>
  <w:style w:type="character" w:customStyle="1" w:styleId="Titre4Car">
    <w:name w:val="Titre 4 Car"/>
    <w:basedOn w:val="Policepardfaut"/>
    <w:link w:val="Titre4"/>
    <w:uiPriority w:val="9"/>
    <w:rsid w:val="004F4ACF"/>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4F4ACF"/>
    <w:rPr>
      <w:color w:val="0000FF"/>
      <w:u w:val="single"/>
    </w:rPr>
  </w:style>
  <w:style w:type="paragraph" w:styleId="NormalWeb">
    <w:name w:val="Normal (Web)"/>
    <w:basedOn w:val="Normal"/>
    <w:uiPriority w:val="99"/>
    <w:semiHidden/>
    <w:unhideWhenUsed/>
    <w:rsid w:val="004F4A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ield-field-contributor">
    <w:name w:val="field-field-contributor"/>
    <w:basedOn w:val="Policepardfaut"/>
    <w:rsid w:val="004F4ACF"/>
  </w:style>
  <w:style w:type="character" w:customStyle="1" w:styleId="field-field-published-at">
    <w:name w:val="field-field-published-at"/>
    <w:basedOn w:val="Policepardfaut"/>
    <w:rsid w:val="004F4ACF"/>
  </w:style>
  <w:style w:type="character" w:styleId="Accentuation">
    <w:name w:val="Emphasis"/>
    <w:basedOn w:val="Policepardfaut"/>
    <w:uiPriority w:val="20"/>
    <w:qFormat/>
    <w:rsid w:val="004F4ACF"/>
    <w:rPr>
      <w:i/>
      <w:iCs/>
    </w:rPr>
  </w:style>
  <w:style w:type="character" w:customStyle="1" w:styleId="Titre2Car">
    <w:name w:val="Titre 2 Car"/>
    <w:basedOn w:val="Policepardfaut"/>
    <w:link w:val="Titre2"/>
    <w:uiPriority w:val="9"/>
    <w:semiHidden/>
    <w:rsid w:val="00C53271"/>
    <w:rPr>
      <w:rFonts w:asciiTheme="majorHAnsi" w:eastAsiaTheme="majorEastAsia" w:hAnsiTheme="majorHAnsi" w:cstheme="majorBidi"/>
      <w:color w:val="2F5496" w:themeColor="accent1" w:themeShade="BF"/>
      <w:sz w:val="26"/>
      <w:szCs w:val="26"/>
    </w:rPr>
  </w:style>
  <w:style w:type="character" w:customStyle="1" w:styleId="published">
    <w:name w:val="published"/>
    <w:basedOn w:val="Policepardfaut"/>
    <w:rsid w:val="00C53271"/>
  </w:style>
  <w:style w:type="character" w:customStyle="1" w:styleId="updated">
    <w:name w:val="updated"/>
    <w:basedOn w:val="Policepardfaut"/>
    <w:rsid w:val="00C53271"/>
  </w:style>
  <w:style w:type="character" w:customStyle="1" w:styleId="current">
    <w:name w:val="current"/>
    <w:basedOn w:val="Policepardfaut"/>
    <w:rsid w:val="00C53271"/>
  </w:style>
  <w:style w:type="character" w:customStyle="1" w:styleId="name">
    <w:name w:val="name"/>
    <w:basedOn w:val="Policepardfaut"/>
    <w:rsid w:val="00C53271"/>
  </w:style>
  <w:style w:type="paragraph" w:customStyle="1" w:styleId="cchapeaualinea">
    <w:name w:val="cchapeaualinea"/>
    <w:basedOn w:val="Normal"/>
    <w:rsid w:val="00C5327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descriptionsourceaside">
    <w:name w:val="cdescriptionsourceaside"/>
    <w:basedOn w:val="Normal"/>
    <w:rsid w:val="00C5327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exposant">
    <w:name w:val="cexposant"/>
    <w:basedOn w:val="Policepardfaut"/>
    <w:rsid w:val="00C53271"/>
  </w:style>
  <w:style w:type="paragraph" w:customStyle="1" w:styleId="cintertitre">
    <w:name w:val="cintertitre"/>
    <w:basedOn w:val="Normal"/>
    <w:rsid w:val="00C5327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communalinea">
    <w:name w:val="ccommunalinea"/>
    <w:basedOn w:val="Normal"/>
    <w:rsid w:val="00C5327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al">
    <w:name w:val="cital"/>
    <w:basedOn w:val="Policepardfaut"/>
    <w:rsid w:val="00C53271"/>
  </w:style>
  <w:style w:type="paragraph" w:customStyle="1" w:styleId="cdescriptionsource">
    <w:name w:val="cdescriptionsource"/>
    <w:basedOn w:val="Normal"/>
    <w:rsid w:val="00C5327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e">
    <w:name w:val="note"/>
    <w:basedOn w:val="Policepardfaut"/>
    <w:rsid w:val="00C53271"/>
  </w:style>
  <w:style w:type="character" w:customStyle="1" w:styleId="cgras">
    <w:name w:val="cgras"/>
    <w:basedOn w:val="Policepardfaut"/>
    <w:rsid w:val="00C53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06502">
      <w:bodyDiv w:val="1"/>
      <w:marLeft w:val="0"/>
      <w:marRight w:val="0"/>
      <w:marTop w:val="0"/>
      <w:marBottom w:val="0"/>
      <w:divBdr>
        <w:top w:val="none" w:sz="0" w:space="0" w:color="auto"/>
        <w:left w:val="none" w:sz="0" w:space="0" w:color="auto"/>
        <w:bottom w:val="none" w:sz="0" w:space="0" w:color="auto"/>
        <w:right w:val="none" w:sz="0" w:space="0" w:color="auto"/>
      </w:divBdr>
      <w:divsChild>
        <w:div w:id="909073048">
          <w:marLeft w:val="0"/>
          <w:marRight w:val="0"/>
          <w:marTop w:val="105"/>
          <w:marBottom w:val="75"/>
          <w:divBdr>
            <w:top w:val="none" w:sz="0" w:space="0" w:color="auto"/>
            <w:left w:val="none" w:sz="0" w:space="0" w:color="auto"/>
            <w:bottom w:val="none" w:sz="0" w:space="0" w:color="auto"/>
            <w:right w:val="none" w:sz="0" w:space="0" w:color="auto"/>
          </w:divBdr>
        </w:div>
      </w:divsChild>
    </w:div>
    <w:div w:id="840894127">
      <w:bodyDiv w:val="1"/>
      <w:marLeft w:val="0"/>
      <w:marRight w:val="0"/>
      <w:marTop w:val="0"/>
      <w:marBottom w:val="0"/>
      <w:divBdr>
        <w:top w:val="none" w:sz="0" w:space="0" w:color="auto"/>
        <w:left w:val="none" w:sz="0" w:space="0" w:color="auto"/>
        <w:bottom w:val="none" w:sz="0" w:space="0" w:color="auto"/>
        <w:right w:val="none" w:sz="0" w:space="0" w:color="auto"/>
      </w:divBdr>
      <w:divsChild>
        <w:div w:id="1595556934">
          <w:marLeft w:val="0"/>
          <w:marRight w:val="0"/>
          <w:marTop w:val="0"/>
          <w:marBottom w:val="0"/>
          <w:divBdr>
            <w:top w:val="none" w:sz="0" w:space="0" w:color="auto"/>
            <w:left w:val="none" w:sz="0" w:space="0" w:color="auto"/>
            <w:bottom w:val="none" w:sz="0" w:space="0" w:color="auto"/>
            <w:right w:val="none" w:sz="0" w:space="0" w:color="auto"/>
          </w:divBdr>
          <w:divsChild>
            <w:div w:id="475075232">
              <w:marLeft w:val="0"/>
              <w:marRight w:val="0"/>
              <w:marTop w:val="0"/>
              <w:marBottom w:val="0"/>
              <w:divBdr>
                <w:top w:val="none" w:sz="0" w:space="0" w:color="auto"/>
                <w:left w:val="none" w:sz="0" w:space="0" w:color="auto"/>
                <w:bottom w:val="none" w:sz="0" w:space="0" w:color="auto"/>
                <w:right w:val="none" w:sz="0" w:space="0" w:color="auto"/>
              </w:divBdr>
              <w:divsChild>
                <w:div w:id="850072655">
                  <w:marLeft w:val="0"/>
                  <w:marRight w:val="0"/>
                  <w:marTop w:val="0"/>
                  <w:marBottom w:val="0"/>
                  <w:divBdr>
                    <w:top w:val="none" w:sz="0" w:space="0" w:color="auto"/>
                    <w:left w:val="none" w:sz="0" w:space="0" w:color="auto"/>
                    <w:bottom w:val="none" w:sz="0" w:space="0" w:color="auto"/>
                    <w:right w:val="none" w:sz="0" w:space="0" w:color="auto"/>
                  </w:divBdr>
                </w:div>
              </w:divsChild>
            </w:div>
            <w:div w:id="1656375494">
              <w:marLeft w:val="0"/>
              <w:marRight w:val="0"/>
              <w:marTop w:val="0"/>
              <w:marBottom w:val="0"/>
              <w:divBdr>
                <w:top w:val="none" w:sz="0" w:space="0" w:color="auto"/>
                <w:left w:val="none" w:sz="0" w:space="0" w:color="auto"/>
                <w:bottom w:val="none" w:sz="0" w:space="0" w:color="auto"/>
                <w:right w:val="none" w:sz="0" w:space="0" w:color="auto"/>
              </w:divBdr>
              <w:divsChild>
                <w:div w:id="3698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77240">
          <w:marLeft w:val="0"/>
          <w:marRight w:val="0"/>
          <w:marTop w:val="0"/>
          <w:marBottom w:val="0"/>
          <w:divBdr>
            <w:top w:val="none" w:sz="0" w:space="0" w:color="auto"/>
            <w:left w:val="none" w:sz="0" w:space="0" w:color="auto"/>
            <w:bottom w:val="none" w:sz="0" w:space="0" w:color="auto"/>
            <w:right w:val="none" w:sz="0" w:space="0" w:color="auto"/>
          </w:divBdr>
          <w:divsChild>
            <w:div w:id="238753881">
              <w:marLeft w:val="0"/>
              <w:marRight w:val="0"/>
              <w:marTop w:val="0"/>
              <w:marBottom w:val="480"/>
              <w:divBdr>
                <w:top w:val="none" w:sz="0" w:space="0" w:color="auto"/>
                <w:left w:val="none" w:sz="0" w:space="0" w:color="auto"/>
                <w:bottom w:val="none" w:sz="0" w:space="0" w:color="auto"/>
                <w:right w:val="none" w:sz="0" w:space="0" w:color="auto"/>
              </w:divBdr>
              <w:divsChild>
                <w:div w:id="1359966656">
                  <w:marLeft w:val="0"/>
                  <w:marRight w:val="0"/>
                  <w:marTop w:val="0"/>
                  <w:marBottom w:val="0"/>
                  <w:divBdr>
                    <w:top w:val="none" w:sz="0" w:space="0" w:color="auto"/>
                    <w:left w:val="none" w:sz="0" w:space="0" w:color="auto"/>
                    <w:bottom w:val="none" w:sz="0" w:space="0" w:color="auto"/>
                    <w:right w:val="none" w:sz="0" w:space="0" w:color="auto"/>
                  </w:divBdr>
                </w:div>
              </w:divsChild>
            </w:div>
            <w:div w:id="540943858">
              <w:marLeft w:val="0"/>
              <w:marRight w:val="0"/>
              <w:marTop w:val="0"/>
              <w:marBottom w:val="180"/>
              <w:divBdr>
                <w:top w:val="none" w:sz="0" w:space="0" w:color="auto"/>
                <w:left w:val="none" w:sz="0" w:space="0" w:color="auto"/>
                <w:bottom w:val="none" w:sz="0" w:space="0" w:color="auto"/>
                <w:right w:val="none" w:sz="0" w:space="0" w:color="auto"/>
              </w:divBdr>
              <w:divsChild>
                <w:div w:id="331567284">
                  <w:marLeft w:val="0"/>
                  <w:marRight w:val="0"/>
                  <w:marTop w:val="0"/>
                  <w:marBottom w:val="0"/>
                  <w:divBdr>
                    <w:top w:val="none" w:sz="0" w:space="0" w:color="auto"/>
                    <w:left w:val="none" w:sz="0" w:space="0" w:color="auto"/>
                    <w:bottom w:val="none" w:sz="0" w:space="0" w:color="auto"/>
                    <w:right w:val="none" w:sz="0" w:space="0" w:color="auto"/>
                  </w:divBdr>
                </w:div>
              </w:divsChild>
            </w:div>
            <w:div w:id="227227412">
              <w:marLeft w:val="0"/>
              <w:marRight w:val="150"/>
              <w:marTop w:val="30"/>
              <w:marBottom w:val="90"/>
              <w:divBdr>
                <w:top w:val="none" w:sz="0" w:space="0" w:color="auto"/>
                <w:left w:val="none" w:sz="0" w:space="0" w:color="auto"/>
                <w:bottom w:val="none" w:sz="0" w:space="0" w:color="auto"/>
                <w:right w:val="none" w:sz="0" w:space="0" w:color="auto"/>
              </w:divBdr>
              <w:divsChild>
                <w:div w:id="1487211584">
                  <w:marLeft w:val="0"/>
                  <w:marRight w:val="0"/>
                  <w:marTop w:val="0"/>
                  <w:marBottom w:val="0"/>
                  <w:divBdr>
                    <w:top w:val="none" w:sz="0" w:space="0" w:color="auto"/>
                    <w:left w:val="none" w:sz="0" w:space="0" w:color="auto"/>
                    <w:bottom w:val="none" w:sz="0" w:space="0" w:color="auto"/>
                    <w:right w:val="none" w:sz="0" w:space="0" w:color="auto"/>
                  </w:divBdr>
                </w:div>
              </w:divsChild>
            </w:div>
            <w:div w:id="623851729">
              <w:marLeft w:val="0"/>
              <w:marRight w:val="0"/>
              <w:marTop w:val="0"/>
              <w:marBottom w:val="0"/>
              <w:divBdr>
                <w:top w:val="none" w:sz="0" w:space="0" w:color="auto"/>
                <w:left w:val="none" w:sz="0" w:space="0" w:color="auto"/>
                <w:bottom w:val="none" w:sz="0" w:space="0" w:color="auto"/>
                <w:right w:val="none" w:sz="0" w:space="0" w:color="auto"/>
              </w:divBdr>
              <w:divsChild>
                <w:div w:id="3107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00286">
      <w:bodyDiv w:val="1"/>
      <w:marLeft w:val="0"/>
      <w:marRight w:val="0"/>
      <w:marTop w:val="0"/>
      <w:marBottom w:val="0"/>
      <w:divBdr>
        <w:top w:val="none" w:sz="0" w:space="0" w:color="auto"/>
        <w:left w:val="none" w:sz="0" w:space="0" w:color="auto"/>
        <w:bottom w:val="none" w:sz="0" w:space="0" w:color="auto"/>
        <w:right w:val="none" w:sz="0" w:space="0" w:color="auto"/>
      </w:divBdr>
      <w:divsChild>
        <w:div w:id="930897841">
          <w:marLeft w:val="0"/>
          <w:marRight w:val="0"/>
          <w:marTop w:val="0"/>
          <w:marBottom w:val="300"/>
          <w:divBdr>
            <w:top w:val="none" w:sz="0" w:space="0" w:color="auto"/>
            <w:left w:val="none" w:sz="0" w:space="0" w:color="auto"/>
            <w:bottom w:val="none" w:sz="0" w:space="0" w:color="auto"/>
            <w:right w:val="none" w:sz="0" w:space="0" w:color="auto"/>
          </w:divBdr>
        </w:div>
        <w:div w:id="1701196802">
          <w:marLeft w:val="0"/>
          <w:marRight w:val="0"/>
          <w:marTop w:val="0"/>
          <w:marBottom w:val="150"/>
          <w:divBdr>
            <w:top w:val="none" w:sz="0" w:space="0" w:color="auto"/>
            <w:left w:val="none" w:sz="0" w:space="0" w:color="auto"/>
            <w:bottom w:val="none" w:sz="0" w:space="0" w:color="auto"/>
            <w:right w:val="none" w:sz="0" w:space="0" w:color="auto"/>
          </w:divBdr>
          <w:divsChild>
            <w:div w:id="1042827979">
              <w:marLeft w:val="0"/>
              <w:marRight w:val="0"/>
              <w:marTop w:val="0"/>
              <w:marBottom w:val="0"/>
              <w:divBdr>
                <w:top w:val="none" w:sz="0" w:space="0" w:color="auto"/>
                <w:left w:val="none" w:sz="0" w:space="0" w:color="auto"/>
                <w:bottom w:val="none" w:sz="0" w:space="0" w:color="auto"/>
                <w:right w:val="none" w:sz="0" w:space="0" w:color="auto"/>
              </w:divBdr>
              <w:divsChild>
                <w:div w:id="1734310595">
                  <w:marLeft w:val="0"/>
                  <w:marRight w:val="0"/>
                  <w:marTop w:val="0"/>
                  <w:marBottom w:val="0"/>
                  <w:divBdr>
                    <w:top w:val="none" w:sz="0" w:space="0" w:color="auto"/>
                    <w:left w:val="none" w:sz="0" w:space="0" w:color="auto"/>
                    <w:bottom w:val="none" w:sz="0" w:space="0" w:color="auto"/>
                    <w:right w:val="none" w:sz="0" w:space="0" w:color="auto"/>
                  </w:divBdr>
                  <w:divsChild>
                    <w:div w:id="676269382">
                      <w:marLeft w:val="0"/>
                      <w:marRight w:val="0"/>
                      <w:marTop w:val="0"/>
                      <w:marBottom w:val="0"/>
                      <w:divBdr>
                        <w:top w:val="none" w:sz="0" w:space="0" w:color="auto"/>
                        <w:left w:val="none" w:sz="0" w:space="0" w:color="auto"/>
                        <w:bottom w:val="none" w:sz="0" w:space="0" w:color="auto"/>
                        <w:right w:val="none" w:sz="0" w:space="0" w:color="auto"/>
                      </w:divBdr>
                    </w:div>
                    <w:div w:id="625896231">
                      <w:marLeft w:val="0"/>
                      <w:marRight w:val="0"/>
                      <w:marTop w:val="0"/>
                      <w:marBottom w:val="0"/>
                      <w:divBdr>
                        <w:top w:val="none" w:sz="0" w:space="0" w:color="auto"/>
                        <w:left w:val="none" w:sz="0" w:space="0" w:color="auto"/>
                        <w:bottom w:val="none" w:sz="0" w:space="0" w:color="auto"/>
                        <w:right w:val="none" w:sz="0" w:space="0" w:color="auto"/>
                      </w:divBdr>
                      <w:divsChild>
                        <w:div w:id="1347092658">
                          <w:marLeft w:val="0"/>
                          <w:marRight w:val="-225"/>
                          <w:marTop w:val="0"/>
                          <w:marBottom w:val="0"/>
                          <w:divBdr>
                            <w:top w:val="none" w:sz="0" w:space="0" w:color="auto"/>
                            <w:left w:val="none" w:sz="0" w:space="0" w:color="auto"/>
                            <w:bottom w:val="none" w:sz="0" w:space="0" w:color="auto"/>
                            <w:right w:val="none" w:sz="0" w:space="0" w:color="auto"/>
                          </w:divBdr>
                          <w:divsChild>
                            <w:div w:id="2088264082">
                              <w:marLeft w:val="0"/>
                              <w:marRight w:val="0"/>
                              <w:marTop w:val="0"/>
                              <w:marBottom w:val="900"/>
                              <w:divBdr>
                                <w:top w:val="none" w:sz="0" w:space="0" w:color="auto"/>
                                <w:left w:val="none" w:sz="0" w:space="0" w:color="auto"/>
                                <w:bottom w:val="none" w:sz="0" w:space="0" w:color="auto"/>
                                <w:right w:val="none" w:sz="0" w:space="0" w:color="auto"/>
                              </w:divBdr>
                              <w:divsChild>
                                <w:div w:id="848837045">
                                  <w:marLeft w:val="0"/>
                                  <w:marRight w:val="0"/>
                                  <w:marTop w:val="0"/>
                                  <w:marBottom w:val="0"/>
                                  <w:divBdr>
                                    <w:top w:val="none" w:sz="0" w:space="0" w:color="auto"/>
                                    <w:left w:val="none" w:sz="0" w:space="0" w:color="auto"/>
                                    <w:bottom w:val="none" w:sz="0" w:space="0" w:color="auto"/>
                                    <w:right w:val="none" w:sz="0" w:space="0" w:color="auto"/>
                                  </w:divBdr>
                                  <w:divsChild>
                                    <w:div w:id="917326120">
                                      <w:marLeft w:val="0"/>
                                      <w:marRight w:val="0"/>
                                      <w:marTop w:val="0"/>
                                      <w:marBottom w:val="0"/>
                                      <w:divBdr>
                                        <w:top w:val="none" w:sz="0" w:space="0" w:color="auto"/>
                                        <w:left w:val="none" w:sz="0" w:space="0" w:color="auto"/>
                                        <w:bottom w:val="none" w:sz="0" w:space="0" w:color="auto"/>
                                        <w:right w:val="none" w:sz="0" w:space="0" w:color="auto"/>
                                      </w:divBdr>
                                    </w:div>
                                    <w:div w:id="290476926">
                                      <w:marLeft w:val="0"/>
                                      <w:marRight w:val="0"/>
                                      <w:marTop w:val="0"/>
                                      <w:marBottom w:val="0"/>
                                      <w:divBdr>
                                        <w:top w:val="none" w:sz="0" w:space="0" w:color="auto"/>
                                        <w:left w:val="none" w:sz="0" w:space="0" w:color="auto"/>
                                        <w:bottom w:val="none" w:sz="0" w:space="0" w:color="auto"/>
                                        <w:right w:val="none" w:sz="0" w:space="0" w:color="auto"/>
                                      </w:divBdr>
                                      <w:divsChild>
                                        <w:div w:id="871116182">
                                          <w:marLeft w:val="0"/>
                                          <w:marRight w:val="0"/>
                                          <w:marTop w:val="0"/>
                                          <w:marBottom w:val="0"/>
                                          <w:divBdr>
                                            <w:top w:val="none" w:sz="0" w:space="0" w:color="auto"/>
                                            <w:left w:val="none" w:sz="0" w:space="0" w:color="auto"/>
                                            <w:bottom w:val="none" w:sz="0" w:space="0" w:color="auto"/>
                                            <w:right w:val="none" w:sz="0" w:space="0" w:color="auto"/>
                                          </w:divBdr>
                                        </w:div>
                                        <w:div w:id="18158330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038085">
          <w:marLeft w:val="0"/>
          <w:marRight w:val="0"/>
          <w:marTop w:val="0"/>
          <w:marBottom w:val="9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dalloz.fr/lien?famille=revues&amp;dochype=RTDCIV/CHRON/1998/0236" TargetMode="External"/><Relationship Id="rId13" Type="http://schemas.openxmlformats.org/officeDocument/2006/relationships/hyperlink" Target="http://www.dalloz.fr/lien?famille=revues&amp;dochype=RECUEIL/OBS/1998/0261" TargetMode="External"/><Relationship Id="rId3" Type="http://schemas.openxmlformats.org/officeDocument/2006/relationships/hyperlink" Target="http://www.dalloz.fr/lien?famille=revues&amp;dochype=AJDA/CHRON/1998/0705" TargetMode="External"/><Relationship Id="rId7" Type="http://schemas.openxmlformats.org/officeDocument/2006/relationships/hyperlink" Target="http://www.dalloz.fr/lien?famille=revues&amp;dochype=RDSS/CHRON/1998/0427" TargetMode="External"/><Relationship Id="rId12" Type="http://schemas.openxmlformats.org/officeDocument/2006/relationships/hyperlink" Target="http://www.dalloz.fr/lien?famille=revues&amp;dochype=RECUEIL/SC/1998/0261" TargetMode="External"/><Relationship Id="rId17" Type="http://schemas.openxmlformats.org/officeDocument/2006/relationships/hyperlink" Target="http://www.dalloz.fr/lien?famille=revues&amp;dochype=RFDA/CHRON/1997/0001" TargetMode="External"/><Relationship Id="rId2" Type="http://schemas.openxmlformats.org/officeDocument/2006/relationships/image" Target="media/image1.png"/><Relationship Id="rId16" Type="http://schemas.openxmlformats.org/officeDocument/2006/relationships/hyperlink" Target="http://www.dalloz.fr/lien?famille=revues&amp;dochype=RECUEIL/OBS/1998/0259" TargetMode="External"/><Relationship Id="rId1" Type="http://schemas.openxmlformats.org/officeDocument/2006/relationships/hyperlink" Target="http://www.dalloz.fr/lien?famille=revues&amp;dochype=AJDA/JURIS/1998/0739" TargetMode="External"/><Relationship Id="rId6" Type="http://schemas.openxmlformats.org/officeDocument/2006/relationships/hyperlink" Target="http://www.dalloz.fr/lien?famille=revues&amp;dochype=RECUEIL/OBS/2000/0315" TargetMode="External"/><Relationship Id="rId11" Type="http://schemas.openxmlformats.org/officeDocument/2006/relationships/hyperlink" Target="http://www.dalloz.fr/lien?famille=revues&amp;dochype=AJDA/CHRON/1996/0371" TargetMode="External"/><Relationship Id="rId5" Type="http://schemas.openxmlformats.org/officeDocument/2006/relationships/hyperlink" Target="http://www.dalloz.fr/lien?famille=revues&amp;dochype=RECUEIL/NOTE/1999/0101" TargetMode="External"/><Relationship Id="rId15" Type="http://schemas.openxmlformats.org/officeDocument/2006/relationships/hyperlink" Target="http://www.dalloz.fr/lien?famille=revues&amp;dochype=RECUEIL/OBS/1998/0250" TargetMode="External"/><Relationship Id="rId10" Type="http://schemas.openxmlformats.org/officeDocument/2006/relationships/hyperlink" Target="http://www.dalloz.fr/lien?famille=revues&amp;dochype=AJDA/JURIS/1996/0030" TargetMode="External"/><Relationship Id="rId4" Type="http://schemas.openxmlformats.org/officeDocument/2006/relationships/hyperlink" Target="http://www.dalloz.fr/lien?famille=revues&amp;dochype=RECUEIL/JURIS/1999/0101" TargetMode="External"/><Relationship Id="rId9" Type="http://schemas.openxmlformats.org/officeDocument/2006/relationships/hyperlink" Target="http://www.dalloz.fr/lien?famille=revues&amp;dochype=RTDCIV/CHRON/1999/0049" TargetMode="External"/><Relationship Id="rId14" Type="http://schemas.openxmlformats.org/officeDocument/2006/relationships/hyperlink" Target="http://www.dalloz.fr/lien?famille=revues&amp;dochype=RECUEIL/OBS/1998/024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426C2-0507-4DD1-856F-BAFFBE132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2286</Words>
  <Characters>12578</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Bernard-Roujou de Boubée</dc:creator>
  <cp:keywords/>
  <dc:description/>
  <cp:lastModifiedBy>MARIE CHRISTINE MONNOYER (718998)</cp:lastModifiedBy>
  <cp:revision>2</cp:revision>
  <dcterms:created xsi:type="dcterms:W3CDTF">2022-01-23T16:02:00Z</dcterms:created>
  <dcterms:modified xsi:type="dcterms:W3CDTF">2022-01-23T16:02:00Z</dcterms:modified>
</cp:coreProperties>
</file>